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From Science to Action: How Engagement in Community and Citizen Science Research Can Lead to Science Activism</w:t>
      </w:r>
    </w:p>
    <w:p w:rsidR="00000000" w:rsidDel="00000000" w:rsidP="00000000" w:rsidRDefault="00000000" w:rsidRPr="00000000" w14:paraId="00000002">
      <w:pPr>
        <w:pStyle w:val="Heading4"/>
        <w:keepNext w:val="0"/>
        <w:keepLines w:val="0"/>
        <w:rPr/>
      </w:pPr>
      <w:bookmarkStart w:colFirst="0" w:colLast="0" w:name="_i8zf2v9a2ds0" w:id="0"/>
      <w:bookmarkEnd w:id="0"/>
      <w:r w:rsidDel="00000000" w:rsidR="00000000" w:rsidRPr="00000000">
        <w:rPr>
          <w:rtl w:val="0"/>
        </w:rPr>
        <w:t xml:space="preserve">Prepared by:</w:t>
      </w:r>
    </w:p>
    <w:p w:rsidR="00000000" w:rsidDel="00000000" w:rsidP="00000000" w:rsidRDefault="00000000" w:rsidRPr="00000000" w14:paraId="00000003">
      <w:pPr>
        <w:pStyle w:val="Heading4"/>
        <w:keepNext w:val="0"/>
        <w:keepLines w:val="0"/>
        <w:spacing w:after="0" w:before="0" w:lineRule="auto"/>
        <w:jc w:val="both"/>
        <w:rPr>
          <w:b w:val="0"/>
          <w:bCs w:val="0"/>
          <w:i w:val="1"/>
          <w:iCs w:val="1"/>
          <w:color w:val="078572"/>
          <w:sz w:val="24"/>
          <w:szCs w:val="24"/>
        </w:rPr>
      </w:pPr>
      <w:bookmarkStart w:colFirst="0" w:colLast="0" w:name="_qzn01kfdbzh8" w:id="1"/>
      <w:bookmarkEnd w:id="1"/>
      <w:r w:rsidDel="00000000" w:rsidR="00000000" w:rsidRPr="00000000">
        <w:rPr>
          <w:b w:val="0"/>
          <w:bCs w:val="0"/>
          <w:i w:val="1"/>
          <w:iCs w:val="1"/>
          <w:color w:val="078572"/>
          <w:sz w:val="24"/>
          <w:szCs w:val="24"/>
          <w:rtl w:val="0"/>
        </w:rPr>
        <w:t xml:space="preserve">Kevin Cuff, Sarah Olsen, &amp; Matthew A. Cannady</w:t>
      </w:r>
    </w:p>
    <w:p w:rsidR="00000000" w:rsidDel="00000000" w:rsidP="00000000" w:rsidRDefault="00000000" w:rsidRPr="00000000" w14:paraId="00000004">
      <w:pPr>
        <w:pStyle w:val="Heading4"/>
        <w:keepNext w:val="0"/>
        <w:keepLines w:val="0"/>
        <w:spacing w:after="0" w:before="0" w:lineRule="auto"/>
        <w:jc w:val="both"/>
        <w:rPr>
          <w:b w:val="0"/>
          <w:bCs w:val="0"/>
          <w:i w:val="1"/>
          <w:iCs w:val="1"/>
          <w:color w:val="078572"/>
          <w:sz w:val="24"/>
          <w:szCs w:val="24"/>
        </w:rPr>
      </w:pPr>
      <w:bookmarkStart w:colFirst="0" w:colLast="0" w:name="_xrw964x1w36m" w:id="2"/>
      <w:bookmarkEnd w:id="2"/>
      <w:r w:rsidDel="00000000" w:rsidR="00000000" w:rsidRPr="00000000">
        <w:rPr>
          <w:b w:val="0"/>
          <w:bCs w:val="0"/>
          <w:i w:val="1"/>
          <w:iCs w:val="1"/>
          <w:color w:val="078572"/>
          <w:sz w:val="24"/>
          <w:szCs w:val="24"/>
          <w:rtl w:val="0"/>
        </w:rPr>
        <w:t xml:space="preserve">Lawrence Hall of Science, University of California, Berkeley</w:t>
      </w:r>
    </w:p>
    <w:p w:rsidR="00000000" w:rsidDel="00000000" w:rsidP="00000000" w:rsidRDefault="00000000" w:rsidRPr="00000000" w14:paraId="00000005">
      <w:pPr>
        <w:pStyle w:val="Heading1"/>
        <w:rPr/>
      </w:pPr>
      <w:bookmarkStart w:colFirst="0" w:colLast="0" w:name="_tj5cdm2n3aj2" w:id="3"/>
      <w:bookmarkEnd w:id="3"/>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06">
      <w:pPr>
        <w:rPr>
          <w:rFonts w:ascii="Poppins" w:cs="Poppins" w:eastAsia="Poppins" w:hAnsi="Poppins"/>
          <w:highlight w:val="white"/>
        </w:rPr>
      </w:pPr>
      <w:r w:rsidDel="00000000" w:rsidR="00000000" w:rsidRPr="00000000">
        <w:rPr>
          <w:rFonts w:ascii="Poppins" w:cs="Poppins" w:eastAsia="Poppins" w:hAnsi="Poppins"/>
          <w:highlight w:val="white"/>
          <w:rtl w:val="0"/>
        </w:rPr>
        <w:t xml:space="preserve">This brief presents findings unearthed through implementation of a project recently supported by the National Science Foundation, entitled </w:t>
      </w:r>
      <w:r w:rsidDel="00000000" w:rsidR="00000000" w:rsidRPr="00000000">
        <w:rPr>
          <w:rFonts w:ascii="Poppins" w:cs="Poppins" w:eastAsia="Poppins" w:hAnsi="Poppins"/>
          <w:i w:val="1"/>
          <w:iCs w:val="1"/>
          <w:color w:val="222222"/>
          <w:highlight w:val="white"/>
          <w:rtl w:val="0"/>
        </w:rPr>
        <w:t xml:space="preserve">Urban Youth Participation in Community and Citizen Science.</w:t>
      </w:r>
      <w:r w:rsidDel="00000000" w:rsidR="00000000" w:rsidRPr="00000000">
        <w:rPr>
          <w:rFonts w:ascii="Poppins" w:cs="Poppins" w:eastAsia="Poppins" w:hAnsi="Poppins"/>
          <w:highlight w:val="white"/>
          <w:rtl w:val="0"/>
        </w:rPr>
        <w:t xml:space="preserve"> The project’s primary goal has been to </w:t>
      </w:r>
      <w:r w:rsidDel="00000000" w:rsidR="00000000" w:rsidRPr="00000000">
        <w:rPr>
          <w:rFonts w:ascii="Poppins" w:cs="Poppins" w:eastAsia="Poppins" w:hAnsi="Poppins"/>
          <w:rtl w:val="0"/>
        </w:rPr>
        <w:t xml:space="preserve">explore educational and developmental outcomes associated with engaging urban </w:t>
      </w:r>
      <w:r w:rsidDel="00000000" w:rsidR="00000000" w:rsidRPr="00000000">
        <w:rPr>
          <w:rFonts w:ascii="Poppins" w:cs="Poppins" w:eastAsia="Poppins" w:hAnsi="Poppins"/>
          <w:highlight w:val="white"/>
          <w:rtl w:val="0"/>
        </w:rPr>
        <w:t xml:space="preserve">youth </w:t>
      </w:r>
      <w:r w:rsidDel="00000000" w:rsidR="00000000" w:rsidRPr="00000000">
        <w:rPr>
          <w:rFonts w:ascii="Poppins" w:cs="Poppins" w:eastAsia="Poppins" w:hAnsi="Poppins"/>
          <w:rtl w:val="0"/>
        </w:rPr>
        <w:t xml:space="preserve">in informal environmental science education programming that features </w:t>
      </w:r>
      <w:r w:rsidDel="00000000" w:rsidR="00000000" w:rsidRPr="00000000">
        <w:rPr>
          <w:rFonts w:ascii="Poppins" w:cs="Poppins" w:eastAsia="Poppins" w:hAnsi="Poppins"/>
          <w:highlight w:val="white"/>
          <w:rtl w:val="0"/>
        </w:rPr>
        <w:t xml:space="preserve">Community and Citizen Science (CCS) research </w:t>
      </w:r>
      <w:r w:rsidDel="00000000" w:rsidR="00000000" w:rsidRPr="00000000">
        <w:rPr>
          <w:rFonts w:ascii="Poppins" w:cs="Poppins" w:eastAsia="Poppins" w:hAnsi="Poppins"/>
          <w:rtl w:val="0"/>
        </w:rPr>
        <w:t xml:space="preserve">activities</w:t>
      </w:r>
      <w:r w:rsidDel="00000000" w:rsidR="00000000" w:rsidRPr="00000000">
        <w:rPr>
          <w:rFonts w:ascii="Poppins" w:cs="Poppins" w:eastAsia="Poppins" w:hAnsi="Poppins"/>
          <w:highlight w:val="white"/>
          <w:rtl w:val="0"/>
        </w:rPr>
        <w:t xml:space="preserve">. In doing so the </w:t>
      </w:r>
      <w:r w:rsidDel="00000000" w:rsidR="00000000" w:rsidRPr="00000000">
        <w:rPr>
          <w:rFonts w:ascii="Poppins" w:cs="Poppins" w:eastAsia="Poppins" w:hAnsi="Poppins"/>
          <w:rtl w:val="0"/>
        </w:rPr>
        <w:t xml:space="preserve">project has been investigating the manner in which CCS research activity components impact youth “Science Agency,” defined as a combination of constructs that include:  </w:t>
      </w:r>
      <w:r w:rsidDel="00000000" w:rsidR="00000000" w:rsidRPr="00000000">
        <w:rPr>
          <w:rFonts w:ascii="Poppins" w:cs="Poppins" w:eastAsia="Poppins" w:hAnsi="Poppins"/>
          <w:highlight w:val="white"/>
          <w:rtl w:val="0"/>
        </w:rPr>
        <w:t xml:space="preserve">Science Identity (i.e., sense of themselves as science thinkers), Science Value (i.e., awareness of the potential benefits of applying scientific practices to addressing critical community health and environmental issues) and Science Competency (i.e., belief of themselves as competent science practitioners). The project also</w:t>
      </w:r>
      <w:r w:rsidDel="00000000" w:rsidR="00000000" w:rsidRPr="00000000">
        <w:rPr>
          <w:rFonts w:ascii="Poppins" w:cs="Poppins" w:eastAsia="Poppins" w:hAnsi="Poppins"/>
          <w:rtl w:val="0"/>
        </w:rPr>
        <w:t xml:space="preserve"> has been exploring how these constructs relate to one another, as well as the relationship between emerging science agency and the development of “Science Activism Mindset,” which is conceptualized </w:t>
      </w:r>
      <w:r w:rsidDel="00000000" w:rsidR="00000000" w:rsidRPr="00000000">
        <w:rPr>
          <w:rFonts w:ascii="Poppins" w:cs="Poppins" w:eastAsia="Poppins" w:hAnsi="Poppins"/>
          <w:rtl w:val="0"/>
        </w:rPr>
        <w:t xml:space="preserve">as a combination of constructs that include</w:t>
      </w:r>
      <w:r w:rsidDel="00000000" w:rsidR="00000000" w:rsidRPr="00000000">
        <w:rPr>
          <w:rFonts w:ascii="Poppins" w:cs="Poppins" w:eastAsia="Poppins" w:hAnsi="Poppins"/>
          <w:rtl w:val="0"/>
        </w:rPr>
        <w:t xml:space="preserve">: </w:t>
      </w:r>
      <w:r w:rsidDel="00000000" w:rsidR="00000000" w:rsidRPr="00000000">
        <w:rPr>
          <w:rFonts w:ascii="Poppins" w:cs="Poppins" w:eastAsia="Poppins" w:hAnsi="Poppins"/>
          <w:highlight w:val="white"/>
          <w:rtl w:val="0"/>
        </w:rPr>
        <w:t xml:space="preserve">Perceived Behavioral Control  (i.e., perceptions of their ability to use science to make a difference), Personal Salience (i.e., t</w:t>
      </w:r>
      <w:r w:rsidDel="00000000" w:rsidR="00000000" w:rsidRPr="00000000">
        <w:rPr>
          <w:rFonts w:ascii="Poppins" w:cs="Poppins" w:eastAsia="Poppins" w:hAnsi="Poppins"/>
          <w:rtl w:val="0"/>
        </w:rPr>
        <w:t xml:space="preserve">he extent to which youth attach meaning to a particular issue), and Critical Consciousness </w:t>
      </w:r>
      <w:r w:rsidDel="00000000" w:rsidR="00000000" w:rsidRPr="00000000">
        <w:rPr>
          <w:rFonts w:ascii="Poppins" w:cs="Poppins" w:eastAsia="Poppins" w:hAnsi="Poppins"/>
          <w:highlight w:val="white"/>
          <w:rtl w:val="0"/>
        </w:rPr>
        <w:t xml:space="preserve">(i.e., awareness of societal challenges along with an understanding of the skills necessary to intervene).</w:t>
      </w:r>
    </w:p>
    <w:p w:rsidR="00000000" w:rsidDel="00000000" w:rsidP="00000000" w:rsidRDefault="00000000" w:rsidRPr="00000000" w14:paraId="00000007">
      <w:pPr>
        <w:rPr>
          <w:rFonts w:ascii="Poppins" w:cs="Poppins" w:eastAsia="Poppins" w:hAnsi="Poppins"/>
        </w:rPr>
      </w:pPr>
      <w:r w:rsidDel="00000000" w:rsidR="00000000" w:rsidRPr="00000000">
        <w:rPr>
          <w:rFonts w:ascii="Poppins" w:cs="Poppins" w:eastAsia="Poppins" w:hAnsi="Poppins"/>
          <w:highlight w:val="white"/>
          <w:rtl w:val="0"/>
        </w:rPr>
        <w:t xml:space="preserve"> Another goal of the project has been to implement its CCS – focused intervention programming model in three, separate cities, and to examine differences in outcomes associated with the various iterations.</w:t>
      </w:r>
      <w:r w:rsidDel="00000000" w:rsidR="00000000" w:rsidRPr="00000000">
        <w:rPr>
          <w:rFonts w:ascii="Poppins" w:cs="Poppins" w:eastAsia="Poppins" w:hAnsi="Poppins"/>
          <w:rtl w:val="0"/>
        </w:rPr>
        <w:t xml:space="preserve"> To accomplish this, project programming was presented to urban middle and high school aged youth in the East San Francisco Bay Area, CA, Chelsea, Massachusetts, and Flint, Michigan. </w:t>
      </w:r>
    </w:p>
    <w:p w:rsidR="00000000" w:rsidDel="00000000" w:rsidP="00000000" w:rsidRDefault="00000000" w:rsidRPr="00000000" w14:paraId="00000008">
      <w:pPr>
        <w:rPr>
          <w:rFonts w:ascii="Poppins" w:cs="Poppins" w:eastAsia="Poppins" w:hAnsi="Poppins"/>
          <w:highlight w:val="white"/>
        </w:rPr>
      </w:pPr>
      <w:r w:rsidDel="00000000" w:rsidR="00000000" w:rsidRPr="00000000">
        <w:rPr>
          <w:rFonts w:ascii="Poppins" w:cs="Poppins" w:eastAsia="Poppins" w:hAnsi="Poppins"/>
          <w:rtl w:val="0"/>
        </w:rPr>
        <w:t xml:space="preserve">The project has used a mixed-methods approach to examine the impact of program participation, utilizing previously vetted retrospective pre/post surveys and interviews with a subset of participants to explore their experiences in more detail. </w:t>
      </w:r>
      <w:r w:rsidDel="00000000" w:rsidR="00000000" w:rsidRPr="00000000">
        <w:rPr>
          <w:rFonts w:ascii="Poppins" w:cs="Poppins" w:eastAsia="Poppins" w:hAnsi="Poppins"/>
          <w:highlight w:val="white"/>
          <w:rtl w:val="0"/>
        </w:rPr>
        <w:t xml:space="preserve">Preliminary analysis of data derived from this study clearly </w:t>
      </w:r>
      <w:r w:rsidDel="00000000" w:rsidR="00000000" w:rsidRPr="00000000">
        <w:rPr>
          <w:rFonts w:ascii="Poppins" w:cs="Poppins" w:eastAsia="Poppins" w:hAnsi="Poppins"/>
          <w:rtl w:val="0"/>
        </w:rPr>
        <w:t xml:space="preserve">indicates that the project’s CCS – focused programming enhances participants' confidence in using science for positive change, increases the value they place on science in relation to their personal lives and community, and strengthens their identification with science, particularly in leveraging it for community benefit.</w:t>
      </w:r>
      <w:r w:rsidDel="00000000" w:rsidR="00000000" w:rsidRPr="00000000">
        <w:rPr>
          <w:rtl w:val="0"/>
        </w:rPr>
      </w:r>
    </w:p>
    <w:p w:rsidR="00000000" w:rsidDel="00000000" w:rsidP="00000000" w:rsidRDefault="00000000" w:rsidRPr="00000000" w14:paraId="00000009">
      <w:pPr>
        <w:pStyle w:val="Heading1"/>
        <w:rPr/>
      </w:pPr>
      <w:bookmarkStart w:colFirst="0" w:colLast="0" w:name="_gjdgxs" w:id="4"/>
      <w:bookmarkEnd w:id="4"/>
      <w:r w:rsidDel="00000000" w:rsidR="00000000" w:rsidRPr="00000000">
        <w:rPr>
          <w:rtl w:val="0"/>
        </w:rPr>
        <w:t xml:space="preserve">Program Overview</w:t>
      </w:r>
      <w:r w:rsidDel="00000000" w:rsidR="00000000" w:rsidRPr="00000000">
        <w:rPr>
          <w:rtl w:val="0"/>
        </w:rPr>
      </w:r>
    </w:p>
    <w:p w:rsidR="00000000" w:rsidDel="00000000" w:rsidP="00000000" w:rsidRDefault="00000000" w:rsidRPr="00000000" w14:paraId="0000000A">
      <w:pPr>
        <w:pStyle w:val="Heading2"/>
        <w:rPr/>
      </w:pPr>
      <w:bookmarkStart w:colFirst="0" w:colLast="0" w:name="_mribn1n3xpxh" w:id="5"/>
      <w:bookmarkEnd w:id="5"/>
      <w:r w:rsidDel="00000000" w:rsidR="00000000" w:rsidRPr="00000000">
        <w:rPr>
          <w:rtl w:val="0"/>
        </w:rPr>
        <w:t xml:space="preserve">Project Intervention Model </w:t>
      </w:r>
    </w:p>
    <w:p w:rsidR="00000000" w:rsidDel="00000000" w:rsidP="00000000" w:rsidRDefault="00000000" w:rsidRPr="00000000" w14:paraId="0000000B">
      <w:pPr>
        <w:spacing w:after="240" w:before="0" w:lineRule="auto"/>
        <w:rPr>
          <w:rFonts w:ascii="Poppins" w:cs="Poppins" w:eastAsia="Poppins" w:hAnsi="Poppins"/>
        </w:rPr>
      </w:pPr>
      <w:r w:rsidDel="00000000" w:rsidR="00000000" w:rsidRPr="00000000">
        <w:rPr>
          <w:rFonts w:ascii="Poppins" w:cs="Poppins" w:eastAsia="Poppins" w:hAnsi="Poppins"/>
          <w:rtl w:val="0"/>
        </w:rPr>
        <w:t xml:space="preserve">The intervention model employed in the study has been structured as a 30-hour program delivered in two primary formats:</w:t>
      </w:r>
    </w:p>
    <w:p w:rsidR="00000000" w:rsidDel="00000000" w:rsidP="00000000" w:rsidRDefault="00000000" w:rsidRPr="00000000" w14:paraId="0000000C">
      <w:pPr>
        <w:numPr>
          <w:ilvl w:val="0"/>
          <w:numId w:val="1"/>
        </w:numPr>
        <w:spacing w:after="0" w:afterAutospacing="0" w:before="240" w:lineRule="auto"/>
        <w:ind w:left="720" w:hanging="360"/>
      </w:pPr>
      <w:r w:rsidDel="00000000" w:rsidR="00000000" w:rsidRPr="00000000">
        <w:rPr>
          <w:rFonts w:ascii="Poppins" w:cs="Poppins" w:eastAsia="Poppins" w:hAnsi="Poppins"/>
          <w:rtl w:val="0"/>
        </w:rPr>
        <w:t xml:space="preserve">Saturday Sessions:</w:t>
      </w:r>
      <w:r w:rsidDel="00000000" w:rsidR="00000000" w:rsidRPr="00000000">
        <w:rPr>
          <w:rFonts w:ascii="Poppins" w:cs="Poppins" w:eastAsia="Poppins" w:hAnsi="Poppins"/>
          <w:rtl w:val="0"/>
        </w:rPr>
        <w:t xml:space="preserve"> Meeting for five hours over six successive Saturdays at local high schools or community centers.</w:t>
      </w:r>
    </w:p>
    <w:p w:rsidR="00000000" w:rsidDel="00000000" w:rsidP="00000000" w:rsidRDefault="00000000" w:rsidRPr="00000000" w14:paraId="0000000D">
      <w:pPr>
        <w:numPr>
          <w:ilvl w:val="0"/>
          <w:numId w:val="1"/>
        </w:numPr>
        <w:spacing w:after="240" w:before="0" w:beforeAutospacing="0" w:lineRule="auto"/>
        <w:ind w:left="720" w:hanging="360"/>
      </w:pPr>
      <w:r w:rsidDel="00000000" w:rsidR="00000000" w:rsidRPr="00000000">
        <w:rPr>
          <w:rFonts w:ascii="Poppins" w:cs="Poppins" w:eastAsia="Poppins" w:hAnsi="Poppins"/>
          <w:rtl w:val="0"/>
        </w:rPr>
        <w:t xml:space="preserve">Summer Programs:</w:t>
      </w:r>
      <w:r w:rsidDel="00000000" w:rsidR="00000000" w:rsidRPr="00000000">
        <w:rPr>
          <w:rFonts w:ascii="Poppins" w:cs="Poppins" w:eastAsia="Poppins" w:hAnsi="Poppins"/>
          <w:rtl w:val="0"/>
        </w:rPr>
        <w:t xml:space="preserve"> Concentrated three-hour daily sessions held over a two-week period.</w:t>
      </w:r>
    </w:p>
    <w:p w:rsidR="00000000" w:rsidDel="00000000" w:rsidP="00000000" w:rsidRDefault="00000000" w:rsidRPr="00000000" w14:paraId="0000000E">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In each version of programming, youth participate in a sequence of activities that transition from historical and health-related framing to active scientific inquiry. They learn about connections between environmental issues and historical factors (such as lead paint and redlining), develop skills related to testing samples to determine  the presence of heavy metals, and ultimately collect, analyze, and present data to their communities. The experience culminates in a "call to action," where students use their findings to advocate for local change.</w:t>
      </w:r>
    </w:p>
    <w:p w:rsidR="00000000" w:rsidDel="00000000" w:rsidP="00000000" w:rsidRDefault="00000000" w:rsidRPr="00000000" w14:paraId="0000000F">
      <w:pPr>
        <w:pStyle w:val="Heading2"/>
        <w:rPr/>
      </w:pPr>
      <w:bookmarkStart w:colFirst="0" w:colLast="0" w:name="_5xcas6hlg7wc" w:id="6"/>
      <w:bookmarkEnd w:id="6"/>
      <w:r w:rsidDel="00000000" w:rsidR="00000000" w:rsidRPr="00000000">
        <w:rPr>
          <w:rtl w:val="0"/>
        </w:rPr>
        <w:t xml:space="preserve">Rationale</w:t>
      </w:r>
    </w:p>
    <w:p w:rsidR="00000000" w:rsidDel="00000000" w:rsidP="00000000" w:rsidRDefault="00000000" w:rsidRPr="00000000" w14:paraId="00000010">
      <w:pPr>
        <w:rPr>
          <w:rFonts w:ascii="Poppins" w:cs="Poppins" w:eastAsia="Poppins" w:hAnsi="Poppins"/>
        </w:rPr>
      </w:pPr>
      <w:r w:rsidDel="00000000" w:rsidR="00000000" w:rsidRPr="00000000">
        <w:rPr>
          <w:rFonts w:ascii="Poppins" w:cs="Poppins" w:eastAsia="Poppins" w:hAnsi="Poppins"/>
          <w:rtl w:val="0"/>
        </w:rPr>
        <w:t xml:space="preserve">The intervention model that lies at the heart of this study was designed by staff affiliated with the East Bay Academy for Young Scientists (EBAYS), a science, technology, engineering, and mathematics (</w:t>
      </w:r>
      <w:r w:rsidDel="00000000" w:rsidR="00000000" w:rsidRPr="00000000">
        <w:rPr>
          <w:rFonts w:ascii="Poppins" w:cs="Poppins" w:eastAsia="Poppins" w:hAnsi="Poppins"/>
          <w:color w:val="222222"/>
          <w:highlight w:val="white"/>
          <w:rtl w:val="0"/>
        </w:rPr>
        <w:t xml:space="preserve">STEM)</w:t>
      </w:r>
      <w:r w:rsidDel="00000000" w:rsidR="00000000" w:rsidRPr="00000000">
        <w:rPr>
          <w:rFonts w:ascii="Poppins" w:cs="Poppins" w:eastAsia="Poppins" w:hAnsi="Poppins"/>
          <w:rtl w:val="0"/>
        </w:rPr>
        <w:t xml:space="preserve"> education research and development group at The Lawrence Hall of Science. </w:t>
      </w:r>
      <w:r w:rsidDel="00000000" w:rsidR="00000000" w:rsidRPr="00000000">
        <w:rPr>
          <w:rFonts w:ascii="Poppins" w:cs="Poppins" w:eastAsia="Poppins" w:hAnsi="Poppins"/>
          <w:color w:val="222222"/>
          <w:highlight w:val="white"/>
          <w:rtl w:val="0"/>
        </w:rPr>
        <w:t xml:space="preserve">EBAYS has a long track record of designing and implementing highly effective STEM intervention programming that specifically addresses the needs of </w:t>
      </w:r>
      <w:r w:rsidDel="00000000" w:rsidR="00000000" w:rsidRPr="00000000">
        <w:rPr>
          <w:rFonts w:ascii="Poppins" w:cs="Poppins" w:eastAsia="Poppins" w:hAnsi="Poppins"/>
          <w:rtl w:val="0"/>
        </w:rPr>
        <w:t xml:space="preserve">youth who reside in resource-constrained Bay Area communities with </w:t>
      </w:r>
      <w:r w:rsidDel="00000000" w:rsidR="00000000" w:rsidRPr="00000000">
        <w:rPr>
          <w:rFonts w:ascii="Poppins" w:cs="Poppins" w:eastAsia="Poppins" w:hAnsi="Poppins"/>
          <w:color w:val="222222"/>
          <w:highlight w:val="white"/>
          <w:rtl w:val="0"/>
        </w:rPr>
        <w:t xml:space="preserve">large numbers of Latinx, African American, Indigenous Central American and Asian/Native Pacific Islander families. </w:t>
      </w:r>
      <w:r w:rsidDel="00000000" w:rsidR="00000000" w:rsidRPr="00000000">
        <w:rPr>
          <w:rFonts w:ascii="Poppins" w:cs="Poppins" w:eastAsia="Poppins" w:hAnsi="Poppins"/>
          <w:rtl w:val="0"/>
        </w:rPr>
        <w:t xml:space="preserve">Unlike common STEM education programs that offer experiences quite distinct from their lived experiences </w:t>
      </w:r>
      <w:r w:rsidDel="00000000" w:rsidR="00000000" w:rsidRPr="00000000">
        <w:rPr>
          <w:rFonts w:ascii="Poppins" w:cs="Poppins" w:eastAsia="Poppins" w:hAnsi="Poppins"/>
          <w:rtl w:val="0"/>
        </w:rPr>
        <w:t xml:space="preserve">(Nasir &amp; Vakil, 2017)</w:t>
      </w:r>
      <w:r w:rsidDel="00000000" w:rsidR="00000000" w:rsidRPr="00000000">
        <w:rPr>
          <w:rFonts w:ascii="Poppins" w:cs="Poppins" w:eastAsia="Poppins" w:hAnsi="Poppins"/>
          <w:rtl w:val="0"/>
        </w:rPr>
        <w:t xml:space="preserve">, EBAYS - designed programming provides opportunities for youth from these communities to engage in authentic scientific research that directly addresses environmental health problems impacting their lives along with those of their families and fellow community members. In the process, this programming intentionally highlights the social and environmental justice dimensions of youth scientific research, which enables them to develop a greater understanding of </w:t>
      </w:r>
      <w:r w:rsidDel="00000000" w:rsidR="00000000" w:rsidRPr="00000000">
        <w:rPr>
          <w:rFonts w:ascii="Poppins" w:cs="Poppins" w:eastAsia="Poppins" w:hAnsi="Poppins"/>
          <w:highlight w:val="white"/>
          <w:rtl w:val="0"/>
        </w:rPr>
        <w:t xml:space="preserve">the potential benefits</w:t>
      </w:r>
      <w:r w:rsidDel="00000000" w:rsidR="00000000" w:rsidRPr="00000000">
        <w:rPr>
          <w:rFonts w:ascii="Poppins" w:cs="Poppins" w:eastAsia="Poppins" w:hAnsi="Poppins"/>
          <w:rtl w:val="0"/>
        </w:rPr>
        <w:t xml:space="preserve"> of using </w:t>
      </w:r>
      <w:r w:rsidDel="00000000" w:rsidR="00000000" w:rsidRPr="00000000">
        <w:rPr>
          <w:rFonts w:ascii="Poppins" w:cs="Poppins" w:eastAsia="Poppins" w:hAnsi="Poppins"/>
          <w:highlight w:val="white"/>
          <w:rtl w:val="0"/>
        </w:rPr>
        <w:t xml:space="preserve">scientific practices</w:t>
      </w:r>
      <w:r w:rsidDel="00000000" w:rsidR="00000000" w:rsidRPr="00000000">
        <w:rPr>
          <w:rFonts w:ascii="Poppins" w:cs="Poppins" w:eastAsia="Poppins" w:hAnsi="Poppins"/>
          <w:rtl w:val="0"/>
        </w:rPr>
        <w:t xml:space="preserve"> as tools for overall community growth and development. </w:t>
      </w:r>
    </w:p>
    <w:p w:rsidR="00000000" w:rsidDel="00000000" w:rsidP="00000000" w:rsidRDefault="00000000" w:rsidRPr="00000000" w14:paraId="00000011">
      <w:pPr>
        <w:rPr>
          <w:rFonts w:ascii="Poppins" w:cs="Poppins" w:eastAsia="Poppins" w:hAnsi="Poppins"/>
        </w:rPr>
      </w:pPr>
      <w:r w:rsidDel="00000000" w:rsidR="00000000" w:rsidRPr="00000000">
        <w:rPr>
          <w:rFonts w:ascii="Poppins" w:cs="Poppins" w:eastAsia="Poppins" w:hAnsi="Poppins"/>
          <w:rtl w:val="0"/>
        </w:rPr>
        <w:t xml:space="preserve">An important goal of this programming is to provide positive learning experiences that afford ample accommodation for different learning styles and cultural perspectives, offer cooperative learning opportunities, and to address relevant, local environmental and social justice concerns. By including activities that have such an intersectional nature, the programming positions STEM as socially meaningful and culturally sustaining</w:t>
      </w:r>
      <w:r w:rsidDel="00000000" w:rsidR="00000000" w:rsidRPr="00000000">
        <w:rPr>
          <w:rFonts w:ascii="Poppins" w:cs="Poppins" w:eastAsia="Poppins" w:hAnsi="Poppins"/>
          <w:color w:val="222222"/>
          <w:highlight w:val="white"/>
          <w:rtl w:val="0"/>
        </w:rPr>
        <w:t xml:space="preserve">. As such, the programming </w:t>
      </w:r>
      <w:r w:rsidDel="00000000" w:rsidR="00000000" w:rsidRPr="00000000">
        <w:rPr>
          <w:rFonts w:ascii="Poppins" w:cs="Poppins" w:eastAsia="Poppins" w:hAnsi="Poppins"/>
          <w:rtl w:val="0"/>
        </w:rPr>
        <w:t xml:space="preserve">helps demystify STEM content that may have intimidated participants during their previous educational experiences </w:t>
      </w:r>
      <w:r w:rsidDel="00000000" w:rsidR="00000000" w:rsidRPr="00000000">
        <w:rPr>
          <w:rFonts w:ascii="Poppins" w:cs="Poppins" w:eastAsia="Poppins" w:hAnsi="Poppins"/>
          <w:rtl w:val="0"/>
        </w:rPr>
        <w:t xml:space="preserve">(Bang &amp; Medin, </w:t>
      </w:r>
      <w:r w:rsidDel="00000000" w:rsidR="00000000" w:rsidRPr="00000000">
        <w:rPr>
          <w:rFonts w:ascii="Poppins" w:cs="Poppins" w:eastAsia="Poppins" w:hAnsi="Poppins"/>
          <w:rtl w:val="0"/>
        </w:rPr>
        <w:t xml:space="preserve">2010</w:t>
      </w:r>
      <w:r w:rsidDel="00000000" w:rsidR="00000000" w:rsidRPr="00000000">
        <w:rPr>
          <w:rFonts w:ascii="Poppins" w:cs="Poppins" w:eastAsia="Poppins" w:hAnsi="Poppins"/>
          <w:rtl w:val="0"/>
        </w:rPr>
        <w:t xml:space="preserve">; Gutstein and Peterson, </w:t>
      </w:r>
      <w:r w:rsidDel="00000000" w:rsidR="00000000" w:rsidRPr="00000000">
        <w:rPr>
          <w:rFonts w:ascii="Poppins" w:cs="Poppins" w:eastAsia="Poppins" w:hAnsi="Poppins"/>
          <w:rtl w:val="0"/>
        </w:rPr>
        <w:t xml:space="preserve">2005</w:t>
      </w:r>
      <w:r w:rsidDel="00000000" w:rsidR="00000000" w:rsidRPr="00000000">
        <w:rPr>
          <w:rFonts w:ascii="Poppins" w:cs="Poppins" w:eastAsia="Poppins" w:hAnsi="Poppins"/>
          <w:rtl w:val="0"/>
        </w:rPr>
        <w:t xml:space="preserve">; Martin, </w:t>
      </w:r>
      <w:r w:rsidDel="00000000" w:rsidR="00000000" w:rsidRPr="00000000">
        <w:rPr>
          <w:rFonts w:ascii="Poppins" w:cs="Poppins" w:eastAsia="Poppins" w:hAnsi="Poppins"/>
          <w:rtl w:val="0"/>
        </w:rPr>
        <w:t xml:space="preserve">2013</w:t>
      </w:r>
      <w:r w:rsidDel="00000000" w:rsidR="00000000" w:rsidRPr="00000000">
        <w:rPr>
          <w:rFonts w:ascii="Poppins" w:cs="Poppins" w:eastAsia="Poppins" w:hAnsi="Poppins"/>
          <w:rtl w:val="0"/>
        </w:rPr>
        <w:t xml:space="preserve">; Vakil et al., </w:t>
      </w:r>
      <w:r w:rsidDel="00000000" w:rsidR="00000000" w:rsidRPr="00000000">
        <w:rPr>
          <w:rFonts w:ascii="Poppins" w:cs="Poppins" w:eastAsia="Poppins" w:hAnsi="Poppins"/>
          <w:rtl w:val="0"/>
        </w:rPr>
        <w:t xml:space="preserve">2016; </w:t>
      </w:r>
      <w:r w:rsidDel="00000000" w:rsidR="00000000" w:rsidRPr="00000000">
        <w:rPr>
          <w:rFonts w:ascii="Poppins" w:cs="Poppins" w:eastAsia="Poppins" w:hAnsi="Poppins"/>
          <w:rtl w:val="0"/>
        </w:rPr>
        <w:t xml:space="preserve">Nasir &amp; Vakil, 2017)</w:t>
      </w:r>
      <w:r w:rsidDel="00000000" w:rsidR="00000000" w:rsidRPr="00000000">
        <w:rPr>
          <w:rFonts w:ascii="Poppins" w:cs="Poppins" w:eastAsia="Poppins" w:hAnsi="Poppins"/>
          <w:rtl w:val="0"/>
        </w:rPr>
        <w:t xml:space="preserve">. In accomplishing these outcomes, the programming relies heavily on its effective engagement of participants in community-based environmental quality research projects that include the collection, analysis and interpretation, and presentation of data derived from their studies. To ensure that these studies encourage and maintain high levels of interest, research projects are specifically designed to address pressing, relevant community health and development concerns, which enables participants to more readily connect their learning to lived experiences. </w:t>
      </w:r>
      <w:r w:rsidDel="00000000" w:rsidR="00000000" w:rsidRPr="00000000">
        <w:rPr>
          <w:rFonts w:ascii="Poppins" w:cs="Poppins" w:eastAsia="Poppins" w:hAnsi="Poppins"/>
          <w:color w:val="0d0d0d"/>
          <w:rtl w:val="0"/>
        </w:rPr>
        <w:t xml:space="preserve">In addition, activities directly link community issues with broader environmental and social justice themes and emphasize the importance of participants' contributions to community development through their data collection efforts.</w:t>
      </w: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Figure 1: EBAYS Intervention Model Theory of Action</w:t>
      </w:r>
    </w:p>
    <w:p w:rsidR="00000000" w:rsidDel="00000000" w:rsidP="00000000" w:rsidRDefault="00000000" w:rsidRPr="00000000" w14:paraId="00000013">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Pr>
        <w:drawing>
          <wp:inline distB="114300" distT="114300" distL="114300" distR="114300">
            <wp:extent cx="5872667" cy="3753566"/>
            <wp:effectExtent b="0" l="0" r="0" t="0"/>
            <wp:docPr id="4" name="image2.png"/>
            <a:graphic>
              <a:graphicData uri="http://schemas.openxmlformats.org/drawingml/2006/picture">
                <pic:pic>
                  <pic:nvPicPr>
                    <pic:cNvPr id="0" name="image2.png"/>
                    <pic:cNvPicPr preferRelativeResize="0"/>
                  </pic:nvPicPr>
                  <pic:blipFill>
                    <a:blip r:embed="rId6"/>
                    <a:srcRect b="0" l="5625" r="6406" t="0"/>
                    <a:stretch>
                      <a:fillRect/>
                    </a:stretch>
                  </pic:blipFill>
                  <pic:spPr>
                    <a:xfrm>
                      <a:off x="0" y="0"/>
                      <a:ext cx="5872667" cy="3753566"/>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5">
      <w:pPr>
        <w:pStyle w:val="Heading1"/>
        <w:rPr/>
      </w:pPr>
      <w:bookmarkStart w:colFirst="0" w:colLast="0" w:name="_vsocg2mw3uzk" w:id="7"/>
      <w:bookmarkEnd w:id="7"/>
      <w:r w:rsidDel="00000000" w:rsidR="00000000" w:rsidRPr="00000000">
        <w:rPr>
          <w:rtl w:val="0"/>
        </w:rPr>
        <w:t xml:space="preserve">The </w:t>
      </w:r>
      <w:r w:rsidDel="00000000" w:rsidR="00000000" w:rsidRPr="00000000">
        <w:rPr>
          <w:rtl w:val="0"/>
        </w:rPr>
        <w:t xml:space="preserve">Learning Experience </w:t>
      </w:r>
      <w:r w:rsidDel="00000000" w:rsidR="00000000" w:rsidRPr="00000000">
        <w:rPr>
          <w:rtl w:val="0"/>
        </w:rPr>
      </w:r>
    </w:p>
    <w:p w:rsidR="00000000" w:rsidDel="00000000" w:rsidP="00000000" w:rsidRDefault="00000000" w:rsidRPr="00000000" w14:paraId="00000016">
      <w:pPr>
        <w:pStyle w:val="Heading2"/>
        <w:rPr/>
      </w:pPr>
      <w:bookmarkStart w:colFirst="0" w:colLast="0" w:name="_q0rfjzj0x4yv" w:id="8"/>
      <w:bookmarkEnd w:id="8"/>
      <w:r w:rsidDel="00000000" w:rsidR="00000000" w:rsidRPr="00000000">
        <w:rPr>
          <w:rtl w:val="0"/>
        </w:rPr>
        <w:t xml:space="preserve">STEM Content</w:t>
      </w:r>
    </w:p>
    <w:p w:rsidR="00000000" w:rsidDel="00000000" w:rsidP="00000000" w:rsidRDefault="00000000" w:rsidRPr="00000000" w14:paraId="00000017">
      <w:pPr>
        <w:rPr>
          <w:rFonts w:ascii="Poppins" w:cs="Poppins" w:eastAsia="Poppins" w:hAnsi="Poppins"/>
        </w:rPr>
      </w:pPr>
      <w:r w:rsidDel="00000000" w:rsidR="00000000" w:rsidRPr="00000000">
        <w:rPr>
          <w:rFonts w:ascii="Poppins" w:cs="Poppins" w:eastAsia="Poppins" w:hAnsi="Poppins"/>
          <w:rtl w:val="0"/>
        </w:rPr>
        <w:t xml:space="preserve">In each setting where the intervention model was implemented youth engaged in a combination of inquiry-oriented framing activities and community science research activities.</w:t>
      </w:r>
    </w:p>
    <w:p w:rsidR="00000000" w:rsidDel="00000000" w:rsidP="00000000" w:rsidRDefault="00000000" w:rsidRPr="00000000" w14:paraId="00000018">
      <w:pPr>
        <w:numPr>
          <w:ilvl w:val="0"/>
          <w:numId w:val="2"/>
        </w:numPr>
        <w:spacing w:after="0" w:afterAutospacing="0" w:line="276.0005454545455" w:lineRule="auto"/>
        <w:ind w:left="990" w:hanging="360"/>
        <w:rPr>
          <w:rFonts w:ascii="Poppins" w:cs="Poppins" w:eastAsia="Poppins" w:hAnsi="Poppins"/>
          <w:u w:val="none"/>
        </w:rPr>
      </w:pPr>
      <w:r w:rsidDel="00000000" w:rsidR="00000000" w:rsidRPr="00000000">
        <w:rPr>
          <w:rFonts w:ascii="Poppins" w:cs="Poppins" w:eastAsia="Poppins" w:hAnsi="Poppins"/>
          <w:rtl w:val="0"/>
        </w:rPr>
        <w:t xml:space="preserve">Framing activities provided a combined STEM content and community relevance framework for the community science research investigations that youth later conduct, address the following topics (among others):</w:t>
      </w:r>
    </w:p>
    <w:p w:rsidR="00000000" w:rsidDel="00000000" w:rsidP="00000000" w:rsidRDefault="00000000" w:rsidRPr="00000000" w14:paraId="00000019">
      <w:pPr>
        <w:numPr>
          <w:ilvl w:val="2"/>
          <w:numId w:val="2"/>
        </w:numPr>
        <w:spacing w:after="0" w:afterAutospacing="0" w:line="276.0005454545455" w:lineRule="auto"/>
        <w:ind w:left="1800" w:hanging="360"/>
        <w:rPr>
          <w:rFonts w:ascii="Poppins" w:cs="Poppins" w:eastAsia="Poppins" w:hAnsi="Poppins"/>
          <w:u w:val="none"/>
        </w:rPr>
      </w:pPr>
      <w:r w:rsidDel="00000000" w:rsidR="00000000" w:rsidRPr="00000000">
        <w:rPr>
          <w:rFonts w:ascii="Poppins" w:cs="Poppins" w:eastAsia="Poppins" w:hAnsi="Poppins"/>
          <w:rtl w:val="0"/>
        </w:rPr>
        <w:t xml:space="preserve">Introduction to Systems</w:t>
      </w:r>
    </w:p>
    <w:p w:rsidR="00000000" w:rsidDel="00000000" w:rsidP="00000000" w:rsidRDefault="00000000" w:rsidRPr="00000000" w14:paraId="0000001A">
      <w:pPr>
        <w:numPr>
          <w:ilvl w:val="2"/>
          <w:numId w:val="2"/>
        </w:numPr>
        <w:spacing w:after="0" w:afterAutospacing="0" w:line="276.0005454545455" w:lineRule="auto"/>
        <w:ind w:left="1800" w:hanging="360"/>
        <w:rPr>
          <w:rFonts w:ascii="Poppins" w:cs="Poppins" w:eastAsia="Poppins" w:hAnsi="Poppins"/>
          <w:u w:val="none"/>
        </w:rPr>
      </w:pPr>
      <w:r w:rsidDel="00000000" w:rsidR="00000000" w:rsidRPr="00000000">
        <w:rPr>
          <w:rFonts w:ascii="Poppins" w:cs="Poppins" w:eastAsia="Poppins" w:hAnsi="Poppins"/>
          <w:rtl w:val="0"/>
        </w:rPr>
        <w:t xml:space="preserve">Qualitative vs Quantitative Observations</w:t>
      </w:r>
    </w:p>
    <w:p w:rsidR="00000000" w:rsidDel="00000000" w:rsidP="00000000" w:rsidRDefault="00000000" w:rsidRPr="00000000" w14:paraId="0000001B">
      <w:pPr>
        <w:numPr>
          <w:ilvl w:val="2"/>
          <w:numId w:val="2"/>
        </w:numPr>
        <w:spacing w:after="0" w:afterAutospacing="0" w:line="276.0005454545455" w:lineRule="auto"/>
        <w:ind w:left="1800" w:hanging="360"/>
        <w:rPr>
          <w:rFonts w:ascii="Poppins" w:cs="Poppins" w:eastAsia="Poppins" w:hAnsi="Poppins"/>
          <w:u w:val="none"/>
        </w:rPr>
      </w:pPr>
      <w:r w:rsidDel="00000000" w:rsidR="00000000" w:rsidRPr="00000000">
        <w:rPr>
          <w:rFonts w:ascii="Poppins" w:cs="Poppins" w:eastAsia="Poppins" w:hAnsi="Poppins"/>
          <w:rtl w:val="0"/>
        </w:rPr>
        <w:t xml:space="preserve">Investigation Design</w:t>
      </w:r>
    </w:p>
    <w:p w:rsidR="00000000" w:rsidDel="00000000" w:rsidP="00000000" w:rsidRDefault="00000000" w:rsidRPr="00000000" w14:paraId="0000001C">
      <w:pPr>
        <w:numPr>
          <w:ilvl w:val="2"/>
          <w:numId w:val="2"/>
        </w:numPr>
        <w:spacing w:after="0" w:afterAutospacing="0" w:line="276.0005454545455" w:lineRule="auto"/>
        <w:ind w:left="1800" w:hanging="360"/>
        <w:rPr>
          <w:rFonts w:ascii="Poppins" w:cs="Poppins" w:eastAsia="Poppins" w:hAnsi="Poppins"/>
          <w:u w:val="none"/>
        </w:rPr>
      </w:pPr>
      <w:r w:rsidDel="00000000" w:rsidR="00000000" w:rsidRPr="00000000">
        <w:rPr>
          <w:rFonts w:ascii="Poppins" w:cs="Poppins" w:eastAsia="Poppins" w:hAnsi="Poppins"/>
          <w:rtl w:val="0"/>
        </w:rPr>
        <w:t xml:space="preserve">Introduction to Mapping</w:t>
      </w:r>
    </w:p>
    <w:p w:rsidR="00000000" w:rsidDel="00000000" w:rsidP="00000000" w:rsidRDefault="00000000" w:rsidRPr="00000000" w14:paraId="0000001D">
      <w:pPr>
        <w:numPr>
          <w:ilvl w:val="2"/>
          <w:numId w:val="2"/>
        </w:numPr>
        <w:spacing w:after="0" w:afterAutospacing="0" w:line="276.0005454545455" w:lineRule="auto"/>
        <w:ind w:left="1800" w:hanging="360"/>
        <w:rPr>
          <w:rFonts w:ascii="Poppins" w:cs="Poppins" w:eastAsia="Poppins" w:hAnsi="Poppins"/>
          <w:u w:val="none"/>
        </w:rPr>
      </w:pPr>
      <w:r w:rsidDel="00000000" w:rsidR="00000000" w:rsidRPr="00000000">
        <w:rPr>
          <w:rFonts w:ascii="Poppins" w:cs="Poppins" w:eastAsia="Poppins" w:hAnsi="Poppins"/>
          <w:rtl w:val="0"/>
        </w:rPr>
        <w:t xml:space="preserve">Use of Spreadsheets</w:t>
      </w:r>
    </w:p>
    <w:p w:rsidR="00000000" w:rsidDel="00000000" w:rsidP="00000000" w:rsidRDefault="00000000" w:rsidRPr="00000000" w14:paraId="0000001E">
      <w:pPr>
        <w:numPr>
          <w:ilvl w:val="2"/>
          <w:numId w:val="2"/>
        </w:numPr>
        <w:spacing w:after="0" w:afterAutospacing="0" w:line="276.0005454545455" w:lineRule="auto"/>
        <w:ind w:left="1800" w:hanging="360"/>
        <w:rPr>
          <w:rFonts w:ascii="Poppins" w:cs="Poppins" w:eastAsia="Poppins" w:hAnsi="Poppins"/>
          <w:u w:val="none"/>
        </w:rPr>
      </w:pPr>
      <w:r w:rsidDel="00000000" w:rsidR="00000000" w:rsidRPr="00000000">
        <w:rPr>
          <w:rFonts w:ascii="Poppins" w:cs="Poppins" w:eastAsia="Poppins" w:hAnsi="Poppins"/>
          <w:rtl w:val="0"/>
        </w:rPr>
        <w:t xml:space="preserve">Introduction to Lead: </w:t>
      </w:r>
      <w:r w:rsidDel="00000000" w:rsidR="00000000" w:rsidRPr="00000000">
        <w:rPr>
          <w:rFonts w:ascii="Poppins" w:cs="Poppins" w:eastAsia="Poppins" w:hAnsi="Poppins"/>
          <w:rtl w:val="0"/>
        </w:rPr>
        <w:t xml:space="preserve">Occurrence</w:t>
      </w:r>
      <w:r w:rsidDel="00000000" w:rsidR="00000000" w:rsidRPr="00000000">
        <w:rPr>
          <w:rFonts w:ascii="Poppins" w:cs="Poppins" w:eastAsia="Poppins" w:hAnsi="Poppins"/>
          <w:rtl w:val="0"/>
        </w:rPr>
        <w:t xml:space="preserve">, Exposure Pathways, and Related Health Effects</w:t>
      </w:r>
    </w:p>
    <w:p w:rsidR="00000000" w:rsidDel="00000000" w:rsidP="00000000" w:rsidRDefault="00000000" w:rsidRPr="00000000" w14:paraId="0000001F">
      <w:pPr>
        <w:numPr>
          <w:ilvl w:val="2"/>
          <w:numId w:val="2"/>
        </w:numPr>
        <w:spacing w:after="0" w:afterAutospacing="0" w:line="276.0005454545455" w:lineRule="auto"/>
        <w:ind w:left="1800" w:hanging="360"/>
        <w:rPr>
          <w:rFonts w:ascii="Poppins" w:cs="Poppins" w:eastAsia="Poppins" w:hAnsi="Poppins"/>
          <w:u w:val="none"/>
        </w:rPr>
      </w:pPr>
      <w:r w:rsidDel="00000000" w:rsidR="00000000" w:rsidRPr="00000000">
        <w:rPr>
          <w:rFonts w:ascii="Poppins" w:cs="Poppins" w:eastAsia="Poppins" w:hAnsi="Poppins"/>
          <w:rtl w:val="0"/>
        </w:rPr>
        <w:t xml:space="preserve">Local Socioeconomic Factors Impacting Environmental Degradation </w:t>
      </w:r>
      <w:r w:rsidDel="00000000" w:rsidR="00000000" w:rsidRPr="00000000">
        <w:rPr>
          <w:rtl w:val="0"/>
        </w:rPr>
      </w:r>
    </w:p>
    <w:p w:rsidR="00000000" w:rsidDel="00000000" w:rsidP="00000000" w:rsidRDefault="00000000" w:rsidRPr="00000000" w14:paraId="00000020">
      <w:pPr>
        <w:numPr>
          <w:ilvl w:val="0"/>
          <w:numId w:val="2"/>
        </w:numPr>
        <w:ind w:left="990" w:hanging="360"/>
        <w:rPr>
          <w:rFonts w:ascii="Poppins" w:cs="Poppins" w:eastAsia="Poppins" w:hAnsi="Poppins"/>
          <w:u w:val="none"/>
        </w:rPr>
      </w:pPr>
      <w:r w:rsidDel="00000000" w:rsidR="00000000" w:rsidRPr="00000000">
        <w:rPr>
          <w:rFonts w:ascii="Poppins" w:cs="Poppins" w:eastAsia="Poppins" w:hAnsi="Poppins"/>
          <w:rtl w:val="0"/>
        </w:rPr>
        <w:t xml:space="preserve">CCS research activities were included to provide opportunities for participants to hone important science practice skills as they engage in environmental quality research studies within local communities under the suggestion and guidance of professional scientists and program staff. Engagement in an initial set of activities familiarized participants with the use of professional grade instrumentation and tools. Following this, participants used appropriate research equipment and computer software to collect, analyze, interpret, and graphically represent data generated through their research. Later they created PowerPoint slide presentations and/or posters that illustrated their work, which then were shared with public audiences at town hall style and other community forums. Following their initial exposure to research instrumentation, protocol, and efficient project execution, participants discussed, designed for, and implemented other research projects that they believed were important.</w:t>
      </w:r>
      <w:r w:rsidDel="00000000" w:rsidR="00000000" w:rsidRPr="00000000">
        <w:rPr>
          <w:rtl w:val="0"/>
        </w:rPr>
      </w:r>
    </w:p>
    <w:p w:rsidR="00000000" w:rsidDel="00000000" w:rsidP="00000000" w:rsidRDefault="00000000" w:rsidRPr="00000000" w14:paraId="00000021">
      <w:pPr>
        <w:rPr>
          <w:rFonts w:ascii="Poppins" w:cs="Poppins" w:eastAsia="Poppins" w:hAnsi="Poppins"/>
          <w:i w:val="1"/>
          <w:iCs w:val="1"/>
        </w:rPr>
      </w:pPr>
      <w:r w:rsidDel="00000000" w:rsidR="00000000" w:rsidRPr="00000000">
        <w:rPr>
          <w:rtl w:val="0"/>
        </w:rPr>
        <w:t xml:space="preserve">The focus of CCS research was on assessing the incidence of lead (Pb) contamination of soils obtained in each community. Human exposure to high concentrations of Pb is associated with a variety of health maladies, including neurological damage linked to a variety of learning and behavior-related problems. Given that they are experiencing rapid growth of their neurological and other physiological systems, children are especially vulnerable to damage caused by Pb exposure. Results presented in </w:t>
      </w:r>
      <w:r w:rsidDel="00000000" w:rsidR="00000000" w:rsidRPr="00000000">
        <w:rPr>
          <w:rtl w:val="0"/>
        </w:rPr>
        <w:t xml:space="preserve">a variety of published studies suggest that the vast majority of mobilized lead in home interiors where children spend the majority of their time is derived from exterior sources (</w:t>
      </w:r>
      <w:r w:rsidDel="00000000" w:rsidR="00000000" w:rsidRPr="00000000">
        <w:rPr>
          <w:rtl w:val="0"/>
        </w:rPr>
        <w:t xml:space="preserve">Sturges and Harrison,1985; Laidlaw et al., 2005; Clark et al.,</w:t>
      </w:r>
      <w:r w:rsidDel="00000000" w:rsidR="00000000" w:rsidRPr="00000000">
        <w:rPr>
          <w:rtl w:val="0"/>
        </w:rPr>
        <w:t xml:space="preserve"> 2008) such as soils. </w:t>
      </w:r>
      <w:r w:rsidDel="00000000" w:rsidR="00000000" w:rsidRPr="00000000">
        <w:rPr>
          <w:rtl w:val="0"/>
        </w:rPr>
        <w:t xml:space="preserve">Soils in many urban communities in the United States and internationally have been contaminated by legacy Pb derived from its past inclusion in paint used to cover surfaces of homes and other buildings, its use as an additive in gasoline, as well as that remaining as a result of past battery recycling and other industrial activities. Prior research also has shown direct correlations between soil Pb and blood Pb levels in children (</w:t>
      </w:r>
      <w:r w:rsidDel="00000000" w:rsidR="00000000" w:rsidRPr="00000000">
        <w:rPr>
          <w:rtl w:val="0"/>
        </w:rPr>
        <w:t xml:space="preserve">Zahran et al., 2013)</w:t>
      </w:r>
      <w:r w:rsidDel="00000000" w:rsidR="00000000" w:rsidRPr="00000000">
        <w:rPr>
          <w:rtl w:val="0"/>
        </w:rPr>
        <w:t xml:space="preserve"> and that children living in inner city urban areas, whether they live in public or private housing, have a 30% higher incidence of Pb exposure than those living in more affluent areas (</w:t>
      </w:r>
      <w:r w:rsidDel="00000000" w:rsidR="00000000" w:rsidRPr="00000000">
        <w:rPr>
          <w:rtl w:val="0"/>
        </w:rPr>
        <w:t xml:space="preserve">Mielke et al., 2013</w:t>
      </w:r>
      <w:r w:rsidDel="00000000" w:rsidR="00000000" w:rsidRPr="00000000">
        <w:rPr>
          <w:rtl w:val="0"/>
        </w:rPr>
        <w:t xml:space="preserve">). Moreover, previous city-wide studies have shown that neighborhood-scale regions of high soil Pb are associated with older housing stock (</w:t>
      </w:r>
      <w:r w:rsidDel="00000000" w:rsidR="00000000" w:rsidRPr="00000000">
        <w:rPr>
          <w:rtl w:val="0"/>
        </w:rPr>
        <w:t xml:space="preserve">Laidlaw and Filippelli, 2008</w:t>
      </w:r>
      <w:r w:rsidDel="00000000" w:rsidR="00000000" w:rsidRPr="00000000">
        <w:rPr>
          <w:rtl w:val="0"/>
        </w:rPr>
        <w:t xml:space="preserve">), which then act as a reservoir of highly bio accessible Pb (</w:t>
      </w:r>
      <w:r w:rsidDel="00000000" w:rsidR="00000000" w:rsidRPr="00000000">
        <w:rPr>
          <w:rtl w:val="0"/>
        </w:rPr>
        <w:t xml:space="preserve">Laidlaw et al., 2016; Mielke et al., 2013; Zahran et al., 2013</w:t>
      </w:r>
      <w:r w:rsidDel="00000000" w:rsidR="00000000" w:rsidRPr="00000000">
        <w:rPr>
          <w:rtl w:val="0"/>
        </w:rPr>
        <w:t xml:space="preserve">).</w:t>
      </w:r>
      <w:r w:rsidDel="00000000" w:rsidR="00000000" w:rsidRPr="00000000">
        <w:rPr>
          <w:i w:val="1"/>
          <w:iCs w:val="1"/>
          <w:rtl w:val="0"/>
        </w:rPr>
        <w:t xml:space="preserve"> </w:t>
      </w:r>
      <w:r w:rsidDel="00000000" w:rsidR="00000000" w:rsidRPr="00000000">
        <w:rPr>
          <w:rtl w:val="0"/>
        </w:rPr>
      </w:r>
    </w:p>
    <w:p w:rsidR="00000000" w:rsidDel="00000000" w:rsidP="00000000" w:rsidRDefault="00000000" w:rsidRPr="00000000" w14:paraId="00000022">
      <w:pPr>
        <w:ind w:left="0" w:firstLine="0"/>
        <w:rPr>
          <w:rFonts w:ascii="Times New Roman" w:cs="Times New Roman" w:eastAsia="Times New Roman" w:hAnsi="Times New Roman"/>
          <w:i w:val="1"/>
          <w:iCs w:val="1"/>
          <w:sz w:val="24"/>
          <w:szCs w:val="24"/>
        </w:rPr>
      </w:pPr>
      <w:r w:rsidDel="00000000" w:rsidR="00000000" w:rsidRPr="00000000">
        <w:rPr>
          <w:rFonts w:ascii="Poppins" w:cs="Poppins" w:eastAsia="Poppins" w:hAnsi="Poppins"/>
          <w:rtl w:val="0"/>
        </w:rPr>
        <w:t xml:space="preserve">Given the very high density of old housing stock (i.e., houses built before 1978) especially in resource-challenged sections of Chelsea, Flint, and Oakland, it was expected that youth-led soil Pb concentration studies would yield extremely useful information. In conducting this research, youth collected soil samples from residences and public spaces and used portable chemical analysis equipment (XRF analyzers) to determine lead concentration levels in collected samples. Results obtained in this manner then were analyzed, interpreted, and used to create maps useful in identifying areas with severe lead contamination. All the investigations generated high-quality data that was shared in public presentations during which youth presented their research findings to families, interested community members, community-based environmental justice advocates, and/or local policymakers.</w:t>
      </w:r>
      <w:r w:rsidDel="00000000" w:rsidR="00000000" w:rsidRPr="00000000">
        <w:rPr>
          <w:rFonts w:ascii="Poppins" w:cs="Poppins" w:eastAsia="Poppins" w:hAnsi="Poppins"/>
          <w:i w:val="1"/>
          <w:iCs w:val="1"/>
          <w:rtl w:val="0"/>
        </w:rPr>
        <w:t xml:space="preserve"> </w:t>
      </w:r>
      <w:r w:rsidDel="00000000" w:rsidR="00000000" w:rsidRPr="00000000">
        <w:rPr>
          <w:rtl w:val="0"/>
        </w:rPr>
      </w:r>
    </w:p>
    <w:p w:rsidR="00000000" w:rsidDel="00000000" w:rsidP="00000000" w:rsidRDefault="00000000" w:rsidRPr="00000000" w14:paraId="00000023">
      <w:pPr>
        <w:pStyle w:val="Heading2"/>
        <w:rPr/>
      </w:pPr>
      <w:bookmarkStart w:colFirst="0" w:colLast="0" w:name="_xt8nl818hp3m" w:id="9"/>
      <w:bookmarkEnd w:id="9"/>
      <w:r w:rsidDel="00000000" w:rsidR="00000000" w:rsidRPr="00000000">
        <w:rPr>
          <w:rtl w:val="0"/>
        </w:rPr>
        <w:t xml:space="preserve">Implementation</w:t>
      </w:r>
    </w:p>
    <w:p w:rsidR="00000000" w:rsidDel="00000000" w:rsidP="00000000" w:rsidRDefault="00000000" w:rsidRPr="00000000" w14:paraId="00000024">
      <w:pPr>
        <w:rPr/>
      </w:pPr>
      <w:r w:rsidDel="00000000" w:rsidR="00000000" w:rsidRPr="00000000">
        <w:rPr>
          <w:rtl w:val="0"/>
        </w:rPr>
        <w:t xml:space="preserve">In the context of the current study, EBAYS - designed intervention programming included participation of urban middle and high school age youth in the East San Francisco Bay Area, CA, Chelsea, Massachusetts, and Flint, Michigan. At each location programming was presented in conjunction with local non-profit, youth serving organizations that played a key role in recruiting youth participants and provided space for implementation. At each site, programming was presented in either of two settings: 1) as a key component of 30-hour long program that met over a 5-hour period on 6 successive Saturdays at local community centers or high schools, and 2) as 30-hour long summer programs that occurred during a 3-hour period over a 2-week period at community centers or high schools. </w:t>
      </w:r>
      <w:r w:rsidDel="00000000" w:rsidR="00000000" w:rsidRPr="00000000">
        <w:rPr>
          <w:rtl w:val="0"/>
        </w:rPr>
      </w:r>
    </w:p>
    <w:p w:rsidR="00000000" w:rsidDel="00000000" w:rsidP="00000000" w:rsidRDefault="00000000" w:rsidRPr="00000000" w14:paraId="00000025">
      <w:pPr>
        <w:pStyle w:val="Heading1"/>
        <w:rPr/>
      </w:pPr>
      <w:bookmarkStart w:colFirst="0" w:colLast="0" w:name="_2et92p0" w:id="10"/>
      <w:bookmarkEnd w:id="10"/>
      <w:r w:rsidDel="00000000" w:rsidR="00000000" w:rsidRPr="00000000">
        <w:rPr>
          <w:rtl w:val="0"/>
        </w:rPr>
        <w:t xml:space="preserve">Evidence of Programming Impacts</w:t>
      </w:r>
    </w:p>
    <w:p w:rsidR="00000000" w:rsidDel="00000000" w:rsidP="00000000" w:rsidRDefault="00000000" w:rsidRPr="00000000" w14:paraId="00000026">
      <w:pPr>
        <w:pStyle w:val="Heading2"/>
        <w:rPr/>
      </w:pPr>
      <w:bookmarkStart w:colFirst="0" w:colLast="0" w:name="_1v6gok9fn4cp" w:id="11"/>
      <w:bookmarkEnd w:id="11"/>
      <w:r w:rsidDel="00000000" w:rsidR="00000000" w:rsidRPr="00000000">
        <w:rPr>
          <w:rtl w:val="0"/>
        </w:rPr>
        <w:t xml:space="preserve">Study Overview </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The study employed a triangulation design approach by independently analyzing survey and interview data and then collectively interpreting the results to explore the impacts of the program (</w:t>
      </w:r>
      <w:r w:rsidDel="00000000" w:rsidR="00000000" w:rsidRPr="00000000">
        <w:rPr>
          <w:rtl w:val="0"/>
        </w:rPr>
        <w:t xml:space="preserve">Creswell &amp; Plano Clark, 2017</w:t>
      </w:r>
      <w:r w:rsidDel="00000000" w:rsidR="00000000" w:rsidRPr="00000000">
        <w:rPr>
          <w:rtl w:val="0"/>
        </w:rPr>
        <w:t xml:space="preserve">). Survey data were collected on the last day of the program. Each program participant who agreed to participate in the research study was administered a survey. Survey responses completed to less than 50% of the survey were excluded from analysis. The surveys asked respondents to report both how they felt now and how they felt before the program experience. These responses were then converted to scale scores for participants and a mean across all participants for the “before” and “now” responses were calculated. A paired samples t-test was conducted to compare the pre scores to the post scores. Qualitative data were derived from structured individual interviews with participants after the last day of their program experience. The protocol for interviews was devised by the research team and conducted with two or three participants from each cohort (9 total). The interviews were audio-recorded and transcribed. The transcripts were then coded by theme to identify scientific orientation and activist mindset. </w:t>
      </w:r>
    </w:p>
    <w:p w:rsidR="00000000" w:rsidDel="00000000" w:rsidP="00000000" w:rsidRDefault="00000000" w:rsidRPr="00000000" w14:paraId="00000028">
      <w:pPr>
        <w:pStyle w:val="Heading2"/>
        <w:rPr/>
      </w:pPr>
      <w:bookmarkStart w:colFirst="0" w:colLast="0" w:name="_h6r2gqflcl5t" w:id="12"/>
      <w:bookmarkEnd w:id="12"/>
      <w:r w:rsidDel="00000000" w:rsidR="00000000" w:rsidRPr="00000000">
        <w:rPr>
          <w:rtl w:val="0"/>
        </w:rPr>
        <w:t xml:space="preserve">Survey Measures</w:t>
      </w:r>
    </w:p>
    <w:p w:rsidR="00000000" w:rsidDel="00000000" w:rsidP="00000000" w:rsidRDefault="00000000" w:rsidRPr="00000000" w14:paraId="00000029">
      <w:pPr>
        <w:rPr>
          <w:rFonts w:ascii="Poppins" w:cs="Poppins" w:eastAsia="Poppins" w:hAnsi="Poppins"/>
          <w:b w:val="1"/>
          <w:bCs w:val="1"/>
        </w:rPr>
      </w:pPr>
      <w:r w:rsidDel="00000000" w:rsidR="00000000" w:rsidRPr="00000000">
        <w:rPr>
          <w:rFonts w:ascii="Poppins" w:cs="Poppins" w:eastAsia="Poppins" w:hAnsi="Poppins"/>
          <w:b w:val="1"/>
          <w:bCs w:val="1"/>
          <w:rtl w:val="0"/>
        </w:rPr>
        <w:t xml:space="preserve">Science Orientation: </w:t>
      </w:r>
      <w:r w:rsidDel="00000000" w:rsidR="00000000" w:rsidRPr="00000000">
        <w:rPr>
          <w:rtl w:val="0"/>
        </w:rPr>
        <w:t xml:space="preserve">One's capacities to engage in science education and practice and leverage those experiences in the classroom and beyond. a combination of constructs that include Science Identity (i.e., sense of themselves as science thinkers), Science Competency (i.e., belief of themselves as competent science practitioners), and Science Value (i.e., awareness of the potential benefits of applying scientific practices to addressing critical community health and environmental issues). The Science Orientation Constructs (table 1) were measured with previously validated scales, drawn from the work of the Science Activation Lab (</w:t>
      </w:r>
      <w:r w:rsidDel="00000000" w:rsidR="00000000" w:rsidRPr="00000000">
        <w:rPr>
          <w:rtl w:val="0"/>
        </w:rPr>
        <w:t xml:space="preserve">Dorph et al., 2016</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A">
      <w:pPr>
        <w:spacing w:line="276" w:lineRule="auto"/>
        <w:rPr/>
      </w:pPr>
      <w:r w:rsidDel="00000000" w:rsidR="00000000" w:rsidRPr="00000000">
        <w:rPr>
          <w:rFonts w:ascii="Poppins" w:cs="Poppins" w:eastAsia="Poppins" w:hAnsi="Poppins"/>
          <w:b w:val="1"/>
          <w:bCs w:val="1"/>
          <w:rtl w:val="0"/>
        </w:rPr>
        <w:t xml:space="preserve">Activism Orientation: </w:t>
      </w:r>
      <w:r w:rsidDel="00000000" w:rsidR="00000000" w:rsidRPr="00000000">
        <w:rPr>
          <w:rtl w:val="0"/>
        </w:rPr>
        <w:t xml:space="preserve">The skills and dispositions that aim for positive social change achievable through the use of science practices, research, and/or communication. In this sense, science is leveraged as a powerful tool to advance social well-being and to address specific societal or community-based problems of injustice or inequality. We envision Activism Orientation to be composed of the following constructs: Personal Salience, Critical Consciousness, and Perceived Behavioral Control. The Activism Orientation Constructs (table 1) were measured with scales developed by the project team to align with the program, establishing content validity through consultation with the staff and leadership of the program.</w:t>
      </w:r>
    </w:p>
    <w:p w:rsidR="00000000" w:rsidDel="00000000" w:rsidP="00000000" w:rsidRDefault="00000000" w:rsidRPr="00000000" w14:paraId="0000002B">
      <w:pPr>
        <w:widowControl w:val="0"/>
        <w:spacing w:after="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Table 1</w:t>
      </w:r>
      <w:r w:rsidDel="00000000" w:rsidR="00000000" w:rsidRPr="00000000">
        <w:rPr>
          <w:rFonts w:ascii="Courier New" w:cs="Courier New" w:eastAsia="Courier New" w:hAnsi="Courier New"/>
          <w:b w:val="1"/>
          <w:bCs w:val="1"/>
          <w:rtl w:val="0"/>
        </w:rPr>
        <w:t xml:space="preserve">. </w:t>
      </w:r>
      <w:r w:rsidDel="00000000" w:rsidR="00000000" w:rsidRPr="00000000">
        <w:rPr>
          <w:rFonts w:ascii="Courier New" w:cs="Courier New" w:eastAsia="Courier New" w:hAnsi="Courier New"/>
          <w:rtl w:val="0"/>
        </w:rPr>
        <w:t xml:space="preserve">Overview of Constructs for the Impact Study</w:t>
      </w:r>
    </w:p>
    <w:tbl>
      <w:tblPr>
        <w:tblStyle w:val="Table1"/>
        <w:tblW w:w="95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470"/>
        <w:gridCol w:w="8115"/>
        <w:tblGridChange w:id="0">
          <w:tblGrid>
            <w:gridCol w:w="1470"/>
            <w:gridCol w:w="8115"/>
          </w:tblGrid>
        </w:tblGridChange>
      </w:tblGrid>
      <w:tr>
        <w:trPr>
          <w:cantSplit w:val="0"/>
          <w:trHeight w:val="450" w:hRule="atLeast"/>
          <w:tblHeader w:val="0"/>
        </w:trPr>
        <w:tc>
          <w:tcPr>
            <w:tcBorders>
              <w:top w:color="ffffff" w:space="0" w:sz="4" w:val="single"/>
              <w:left w:color="ffffff" w:space="0" w:sz="4" w:val="single"/>
              <w:bottom w:color="000000" w:space="0" w:sz="6" w:val="single"/>
              <w:right w:color="ffffff" w:space="0" w:sz="4" w:val="single"/>
            </w:tcBorders>
            <w:tcMar>
              <w:top w:w="40.0" w:type="dxa"/>
              <w:left w:w="40.0" w:type="dxa"/>
              <w:bottom w:w="40.0" w:type="dxa"/>
              <w:right w:w="40.0" w:type="dxa"/>
            </w:tcMar>
            <w:vAlign w:val="center"/>
          </w:tcPr>
          <w:p w:rsidR="00000000" w:rsidDel="00000000" w:rsidP="00000000" w:rsidRDefault="00000000" w:rsidRPr="00000000" w14:paraId="0000002C">
            <w:pPr>
              <w:widowControl w:val="0"/>
              <w:spacing w:after="0" w:lineRule="auto"/>
              <w:jc w:val="center"/>
              <w:rPr>
                <w:rFonts w:ascii="Courier New" w:cs="Courier New" w:eastAsia="Courier New" w:hAnsi="Courier New"/>
                <w:b w:val="1"/>
                <w:bCs w:val="1"/>
                <w:sz w:val="20"/>
                <w:szCs w:val="20"/>
              </w:rPr>
            </w:pPr>
            <w:r w:rsidDel="00000000" w:rsidR="00000000" w:rsidRPr="00000000">
              <w:rPr>
                <w:rFonts w:ascii="Courier New" w:cs="Courier New" w:eastAsia="Courier New" w:hAnsi="Courier New"/>
                <w:b w:val="1"/>
                <w:bCs w:val="1"/>
                <w:sz w:val="20"/>
                <w:szCs w:val="20"/>
                <w:rtl w:val="0"/>
              </w:rPr>
              <w:t xml:space="preserve">Construct</w:t>
            </w:r>
          </w:p>
        </w:tc>
        <w:tc>
          <w:tcPr>
            <w:tcBorders>
              <w:top w:color="ffffff" w:space="0" w:sz="4" w:val="single"/>
              <w:left w:color="ffffff" w:space="0" w:sz="4" w:val="single"/>
              <w:bottom w:color="000000" w:space="0" w:sz="6" w:val="single"/>
              <w:right w:color="ffffff" w:space="0" w:sz="4" w:val="single"/>
            </w:tcBorders>
            <w:tcMar>
              <w:top w:w="40.0" w:type="dxa"/>
              <w:left w:w="40.0" w:type="dxa"/>
              <w:bottom w:w="40.0" w:type="dxa"/>
              <w:right w:w="40.0" w:type="dxa"/>
            </w:tcMar>
            <w:vAlign w:val="center"/>
          </w:tcPr>
          <w:p w:rsidR="00000000" w:rsidDel="00000000" w:rsidP="00000000" w:rsidRDefault="00000000" w:rsidRPr="00000000" w14:paraId="0000002D">
            <w:pPr>
              <w:widowControl w:val="0"/>
              <w:spacing w:after="0" w:lineRule="auto"/>
              <w:ind w:left="180" w:firstLine="0"/>
              <w:rPr>
                <w:rFonts w:ascii="Courier New" w:cs="Courier New" w:eastAsia="Courier New" w:hAnsi="Courier New"/>
                <w:b w:val="1"/>
                <w:bCs w:val="1"/>
                <w:sz w:val="20"/>
                <w:szCs w:val="20"/>
              </w:rPr>
            </w:pPr>
            <w:r w:rsidDel="00000000" w:rsidR="00000000" w:rsidRPr="00000000">
              <w:rPr>
                <w:rFonts w:ascii="Courier New" w:cs="Courier New" w:eastAsia="Courier New" w:hAnsi="Courier New"/>
                <w:b w:val="1"/>
                <w:bCs w:val="1"/>
                <w:sz w:val="20"/>
                <w:szCs w:val="20"/>
                <w:rtl w:val="0"/>
              </w:rPr>
              <w:t xml:space="preserve">Construct Definition</w:t>
            </w:r>
          </w:p>
        </w:tc>
      </w:tr>
      <w:tr>
        <w:trPr>
          <w:cantSplit w:val="0"/>
          <w:trHeight w:val="360" w:hRule="atLeast"/>
          <w:tblHeader w:val="0"/>
        </w:trPr>
        <w:tc>
          <w:tcPr>
            <w:gridSpan w:val="2"/>
            <w:tcBorders>
              <w:top w:color="000000" w:space="0" w:sz="6" w:val="single"/>
              <w:left w:color="ffffff"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spacing w:after="0" w:line="276" w:lineRule="auto"/>
              <w:rPr>
                <w:rFonts w:ascii="Courier New" w:cs="Courier New" w:eastAsia="Courier New" w:hAnsi="Courier New"/>
                <w:i w:val="1"/>
                <w:iCs w:val="1"/>
                <w:sz w:val="20"/>
                <w:szCs w:val="20"/>
              </w:rPr>
            </w:pPr>
            <w:r w:rsidDel="00000000" w:rsidR="00000000" w:rsidRPr="00000000">
              <w:rPr>
                <w:rFonts w:ascii="Courier New" w:cs="Courier New" w:eastAsia="Courier New" w:hAnsi="Courier New"/>
                <w:i w:val="1"/>
                <w:iCs w:val="1"/>
                <w:sz w:val="20"/>
                <w:szCs w:val="20"/>
                <w:rtl w:val="0"/>
              </w:rPr>
              <w:t xml:space="preserve">Science Orientation</w:t>
            </w:r>
          </w:p>
        </w:tc>
      </w:tr>
      <w:tr>
        <w:trPr>
          <w:cantSplit w:val="0"/>
          <w:trHeight w:val="504" w:hRule="atLeast"/>
          <w:tblHeader w:val="0"/>
        </w:trPr>
        <w:tc>
          <w:tcPr>
            <w:tcBorders>
              <w:top w:color="000000" w:space="0" w:sz="6" w:val="single"/>
              <w:left w:color="ffffff" w:space="0" w:sz="6" w:val="single"/>
              <w:bottom w:color="000000"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spacing w:after="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Competency Beliefs</w:t>
            </w:r>
          </w:p>
        </w:tc>
        <w:tc>
          <w:tcPr>
            <w:tcBorders>
              <w:top w:color="000000" w:space="0" w:sz="6" w:val="single"/>
              <w:left w:color="ffffff" w:space="0" w:sz="6" w:val="single"/>
              <w:bottom w:color="000000"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spacing w:after="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extent to which individuals believe that they are good at science functions and tasks in science settings.</w:t>
            </w:r>
          </w:p>
        </w:tc>
      </w:tr>
      <w:tr>
        <w:trPr>
          <w:cantSplit w:val="0"/>
          <w:trHeight w:val="460" w:hRule="atLeast"/>
          <w:tblHeader w:val="0"/>
        </w:trPr>
        <w:tc>
          <w:tcPr>
            <w:tcBorders>
              <w:top w:color="000000" w:space="0" w:sz="6" w:val="single"/>
              <w:left w:color="ffffff" w:space="0" w:sz="6" w:val="single"/>
              <w:bottom w:color="000000"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2">
            <w:pPr>
              <w:widowControl w:val="0"/>
              <w:spacing w:after="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Science Values</w:t>
            </w:r>
          </w:p>
        </w:tc>
        <w:tc>
          <w:tcPr>
            <w:tcBorders>
              <w:top w:color="000000" w:space="0" w:sz="6" w:val="single"/>
              <w:left w:color="ffffff" w:space="0" w:sz="6" w:val="single"/>
              <w:bottom w:color="000000"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spacing w:after="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degree to which learners value science, including the knowledge learned in science, the ways of reasoning used in science, and the role that science plays in their everyday lives.</w:t>
            </w:r>
          </w:p>
        </w:tc>
      </w:tr>
      <w:tr>
        <w:trPr>
          <w:cantSplit w:val="0"/>
          <w:trHeight w:val="480" w:hRule="atLeast"/>
          <w:tblHeader w:val="0"/>
        </w:trPr>
        <w:tc>
          <w:tcPr>
            <w:tcBorders>
              <w:top w:color="000000" w:space="0" w:sz="6" w:val="single"/>
              <w:left w:color="ffffff" w:space="0" w:sz="6" w:val="single"/>
              <w:bottom w:color="000000"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4">
            <w:pPr>
              <w:widowControl w:val="0"/>
              <w:spacing w:after="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Science Identity</w:t>
            </w:r>
          </w:p>
        </w:tc>
        <w:tc>
          <w:tcPr>
            <w:tcBorders>
              <w:top w:color="000000" w:space="0" w:sz="6" w:val="single"/>
              <w:left w:color="ffffff" w:space="0" w:sz="6" w:val="single"/>
              <w:bottom w:color="000000"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spacing w:after="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view of self and perception of how one is seen by others as a "science person" in a given context</w:t>
            </w:r>
          </w:p>
        </w:tc>
      </w:tr>
      <w:tr>
        <w:trPr>
          <w:cantSplit w:val="0"/>
          <w:trHeight w:val="435" w:hRule="atLeast"/>
          <w:tblHeader w:val="0"/>
        </w:trPr>
        <w:tc>
          <w:tcPr>
            <w:gridSpan w:val="2"/>
            <w:tcBorders>
              <w:top w:color="000000" w:space="0" w:sz="6" w:val="single"/>
              <w:left w:color="ffffff"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6">
            <w:pPr>
              <w:widowControl w:val="0"/>
              <w:spacing w:after="0" w:line="276" w:lineRule="auto"/>
              <w:rPr>
                <w:rFonts w:ascii="Courier New" w:cs="Courier New" w:eastAsia="Courier New" w:hAnsi="Courier New"/>
                <w:i w:val="1"/>
                <w:iCs w:val="1"/>
                <w:sz w:val="20"/>
                <w:szCs w:val="20"/>
              </w:rPr>
            </w:pPr>
            <w:r w:rsidDel="00000000" w:rsidR="00000000" w:rsidRPr="00000000">
              <w:rPr>
                <w:rFonts w:ascii="Courier New" w:cs="Courier New" w:eastAsia="Courier New" w:hAnsi="Courier New"/>
                <w:i w:val="1"/>
                <w:iCs w:val="1"/>
                <w:sz w:val="20"/>
                <w:szCs w:val="20"/>
                <w:rtl w:val="0"/>
              </w:rPr>
              <w:t xml:space="preserve">Activism Orientation</w:t>
            </w:r>
          </w:p>
        </w:tc>
      </w:tr>
      <w:tr>
        <w:trPr>
          <w:cantSplit w:val="0"/>
          <w:trHeight w:val="680" w:hRule="atLeast"/>
          <w:tblHeader w:val="0"/>
        </w:trPr>
        <w:tc>
          <w:tcPr>
            <w:tcBorders>
              <w:top w:color="000000" w:space="0" w:sz="6" w:val="single"/>
              <w:left w:color="ffffff" w:space="0" w:sz="6" w:val="single"/>
              <w:bottom w:color="000000"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8">
            <w:pPr>
              <w:widowControl w:val="0"/>
              <w:spacing w:after="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Personal Salience</w:t>
            </w:r>
          </w:p>
        </w:tc>
        <w:tc>
          <w:tcPr>
            <w:tcBorders>
              <w:top w:color="000000" w:space="0" w:sz="6" w:val="single"/>
              <w:left w:color="ffffff" w:space="0" w:sz="6" w:val="single"/>
              <w:bottom w:color="000000"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spacing w:after="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perceptions of the personal relevance, need for action, personal interest, and sense of responsibility in regards to environmental justice issues</w:t>
            </w:r>
          </w:p>
        </w:tc>
      </w:tr>
      <w:tr>
        <w:trPr>
          <w:cantSplit w:val="0"/>
          <w:trHeight w:val="540" w:hRule="atLeast"/>
          <w:tblHeader w:val="0"/>
        </w:trPr>
        <w:tc>
          <w:tcPr>
            <w:tcBorders>
              <w:top w:color="000000" w:space="0" w:sz="6" w:val="single"/>
              <w:left w:color="ffffff" w:space="0" w:sz="6" w:val="single"/>
              <w:bottom w:color="000000"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spacing w:after="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Perceived Behavioral Control</w:t>
            </w:r>
          </w:p>
        </w:tc>
        <w:tc>
          <w:tcPr>
            <w:tcBorders>
              <w:top w:color="000000" w:space="0" w:sz="6" w:val="single"/>
              <w:left w:color="ffffff" w:space="0" w:sz="6" w:val="single"/>
              <w:bottom w:color="000000"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3B">
            <w:pPr>
              <w:widowControl w:val="0"/>
              <w:spacing w:after="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One’s perceptions of their ability to use science to make a difference and one’s evaluation of whether they can have an impact on a science-related social issue - which may include their perceived access to systems, people, and resources, as well as their perceptions of the manageability of the problem.</w:t>
            </w:r>
          </w:p>
        </w:tc>
      </w:tr>
      <w:tr>
        <w:trPr>
          <w:cantSplit w:val="0"/>
          <w:trHeight w:val="540" w:hRule="atLeast"/>
          <w:tblHeader w:val="0"/>
        </w:trPr>
        <w:tc>
          <w:tcPr>
            <w:tcBorders>
              <w:top w:color="000000" w:space="0" w:sz="6" w:val="single"/>
              <w:left w:color="ffffff" w:space="0" w:sz="6" w:val="single"/>
              <w:bottom w:color="000000"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3C">
            <w:pPr>
              <w:widowControl w:val="0"/>
              <w:spacing w:after="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Critical Consciousness</w:t>
            </w:r>
          </w:p>
        </w:tc>
        <w:tc>
          <w:tcPr>
            <w:tcBorders>
              <w:top w:color="000000" w:space="0" w:sz="6" w:val="single"/>
              <w:left w:color="ffffff" w:space="0" w:sz="6" w:val="single"/>
              <w:bottom w:color="000000"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spacing w:after="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Critical consciousness combines awareness of disparities and inequity with the agency to take action. </w:t>
            </w:r>
          </w:p>
        </w:tc>
      </w:tr>
    </w:tbl>
    <w:p w:rsidR="00000000" w:rsidDel="00000000" w:rsidP="00000000" w:rsidRDefault="00000000" w:rsidRPr="00000000" w14:paraId="0000003E">
      <w:pPr>
        <w:pStyle w:val="Heading2"/>
        <w:spacing w:before="200" w:lineRule="auto"/>
        <w:rPr/>
      </w:pPr>
      <w:bookmarkStart w:colFirst="0" w:colLast="0" w:name="_rbjxe04onscj" w:id="13"/>
      <w:bookmarkEnd w:id="13"/>
      <w:r w:rsidDel="00000000" w:rsidR="00000000" w:rsidRPr="00000000">
        <w:rPr>
          <w:rtl w:val="0"/>
        </w:rPr>
        <w:t xml:space="preserve">Study Participants</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Study p</w:t>
      </w:r>
      <w:r w:rsidDel="00000000" w:rsidR="00000000" w:rsidRPr="00000000">
        <w:rPr>
          <w:rtl w:val="0"/>
        </w:rPr>
        <w:t xml:space="preserve">articipants were drawn from three locations, the East Bay area of California, Flint Michigan, and Chelsea Massachusetts. Table 2 below details the demographics of participants across locations. The vast majority of participants were from California (156), there were more girls/women than boys/men or other gender identities. And the largest racial/ethnic identities across the sample were Black or African American (25), East Asian (32), Latinx/Latine/Latin@ (32), and White (29). </w:t>
      </w:r>
      <w:r w:rsidDel="00000000" w:rsidR="00000000" w:rsidRPr="00000000">
        <w:rPr>
          <w:rtl w:val="0"/>
        </w:rPr>
      </w:r>
    </w:p>
    <w:p w:rsidR="00000000" w:rsidDel="00000000" w:rsidP="00000000" w:rsidRDefault="00000000" w:rsidRPr="00000000" w14:paraId="00000040">
      <w:pPr>
        <w:widowControl w:val="0"/>
        <w:spacing w:after="0" w:line="276" w:lineRule="auto"/>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Table </w:t>
      </w:r>
      <w:r w:rsidDel="00000000" w:rsidR="00000000" w:rsidRPr="00000000">
        <w:rPr>
          <w:rFonts w:ascii="Courier New" w:cs="Courier New" w:eastAsia="Courier New" w:hAnsi="Courier New"/>
          <w:rtl w:val="0"/>
        </w:rPr>
        <w:t xml:space="preserve">2</w:t>
      </w:r>
      <w:r w:rsidDel="00000000" w:rsidR="00000000" w:rsidRPr="00000000">
        <w:rPr>
          <w:rFonts w:ascii="Courier New" w:cs="Courier New" w:eastAsia="Courier New" w:hAnsi="Courier New"/>
          <w:sz w:val="22"/>
          <w:szCs w:val="22"/>
          <w:rtl w:val="0"/>
        </w:rPr>
        <w:t xml:space="preserve">. </w:t>
      </w:r>
      <w:r w:rsidDel="00000000" w:rsidR="00000000" w:rsidRPr="00000000">
        <w:rPr>
          <w:rFonts w:ascii="Courier New" w:cs="Courier New" w:eastAsia="Courier New" w:hAnsi="Courier New"/>
          <w:rtl w:val="0"/>
        </w:rPr>
        <w:t xml:space="preserve">Survey Participant Demographic Information by Location</w:t>
      </w:r>
      <w:r w:rsidDel="00000000" w:rsidR="00000000" w:rsidRPr="00000000">
        <w:rPr>
          <w:rtl w:val="0"/>
        </w:rPr>
      </w:r>
    </w:p>
    <w:tbl>
      <w:tblPr>
        <w:tblStyle w:val="Table2"/>
        <w:tblW w:w="89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895"/>
        <w:gridCol w:w="1710"/>
        <w:gridCol w:w="1845"/>
        <w:gridCol w:w="2490"/>
        <w:tblGridChange w:id="0">
          <w:tblGrid>
            <w:gridCol w:w="2895"/>
            <w:gridCol w:w="1710"/>
            <w:gridCol w:w="1845"/>
            <w:gridCol w:w="2490"/>
          </w:tblGrid>
        </w:tblGridChange>
      </w:tblGrid>
      <w:tr>
        <w:trPr>
          <w:cantSplit w:val="0"/>
          <w:trHeight w:val="320" w:hRule="atLeast"/>
          <w:tblHeader w:val="0"/>
        </w:trPr>
        <w:tc>
          <w:tcPr>
            <w:tcBorders>
              <w:top w:color="ffffff" w:space="0" w:sz="6" w:val="single"/>
              <w:left w:color="ffffff" w:space="0" w:sz="6" w:val="single"/>
              <w:bottom w:color="000000"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41">
            <w:pPr>
              <w:widowControl w:val="0"/>
              <w:spacing w:after="0" w:lineRule="auto"/>
              <w:rPr>
                <w:rFonts w:ascii="Courier New" w:cs="Courier New" w:eastAsia="Courier New" w:hAnsi="Courier New"/>
                <w:sz w:val="28"/>
                <w:szCs w:val="28"/>
              </w:rPr>
            </w:pPr>
            <w:r w:rsidDel="00000000" w:rsidR="00000000" w:rsidRPr="00000000">
              <w:rPr>
                <w:rtl w:val="0"/>
              </w:rPr>
            </w:r>
          </w:p>
        </w:tc>
        <w:tc>
          <w:tcPr>
            <w:tcBorders>
              <w:top w:color="ffffff" w:space="0" w:sz="6" w:val="single"/>
              <w:left w:color="ffffff" w:space="0" w:sz="6" w:val="single"/>
              <w:bottom w:color="000000"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42">
            <w:pPr>
              <w:widowControl w:val="0"/>
              <w:spacing w:after="0" w:line="276" w:lineRule="auto"/>
              <w:jc w:val="center"/>
              <w:rPr>
                <w:rFonts w:ascii="Courier New" w:cs="Courier New" w:eastAsia="Courier New" w:hAnsi="Courier New"/>
                <w:b w:val="1"/>
                <w:bCs w:val="1"/>
                <w:sz w:val="20"/>
                <w:szCs w:val="20"/>
              </w:rPr>
            </w:pPr>
            <w:r w:rsidDel="00000000" w:rsidR="00000000" w:rsidRPr="00000000">
              <w:rPr>
                <w:rFonts w:ascii="Courier New" w:cs="Courier New" w:eastAsia="Courier New" w:hAnsi="Courier New"/>
                <w:b w:val="1"/>
                <w:bCs w:val="1"/>
                <w:sz w:val="20"/>
                <w:szCs w:val="20"/>
                <w:rtl w:val="0"/>
              </w:rPr>
              <w:t xml:space="preserve">California</w:t>
            </w:r>
            <w:r w:rsidDel="00000000" w:rsidR="00000000" w:rsidRPr="00000000">
              <w:rPr>
                <w:rtl w:val="0"/>
              </w:rPr>
            </w:r>
          </w:p>
        </w:tc>
        <w:tc>
          <w:tcPr>
            <w:tcBorders>
              <w:top w:color="ffffff" w:space="0" w:sz="6" w:val="single"/>
              <w:left w:color="ffffff" w:space="0" w:sz="6" w:val="single"/>
              <w:bottom w:color="000000"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43">
            <w:pPr>
              <w:widowControl w:val="0"/>
              <w:spacing w:after="0" w:line="276" w:lineRule="auto"/>
              <w:jc w:val="center"/>
              <w:rPr>
                <w:rFonts w:ascii="Courier New" w:cs="Courier New" w:eastAsia="Courier New" w:hAnsi="Courier New"/>
                <w:b w:val="1"/>
                <w:bCs w:val="1"/>
                <w:sz w:val="20"/>
                <w:szCs w:val="20"/>
              </w:rPr>
            </w:pPr>
            <w:r w:rsidDel="00000000" w:rsidR="00000000" w:rsidRPr="00000000">
              <w:rPr>
                <w:rFonts w:ascii="Courier New" w:cs="Courier New" w:eastAsia="Courier New" w:hAnsi="Courier New"/>
                <w:b w:val="1"/>
                <w:bCs w:val="1"/>
                <w:sz w:val="20"/>
                <w:szCs w:val="20"/>
                <w:rtl w:val="0"/>
              </w:rPr>
              <w:t xml:space="preserve">Michigan</w:t>
            </w:r>
            <w:r w:rsidDel="00000000" w:rsidR="00000000" w:rsidRPr="00000000">
              <w:rPr>
                <w:rtl w:val="0"/>
              </w:rPr>
            </w:r>
          </w:p>
        </w:tc>
        <w:tc>
          <w:tcPr>
            <w:tcBorders>
              <w:top w:color="ffffff" w:space="0" w:sz="6" w:val="single"/>
              <w:left w:color="ffffff" w:space="0" w:sz="6" w:val="single"/>
              <w:bottom w:color="000000"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44">
            <w:pPr>
              <w:widowControl w:val="0"/>
              <w:spacing w:after="0" w:line="276" w:lineRule="auto"/>
              <w:jc w:val="center"/>
              <w:rPr>
                <w:rFonts w:ascii="Courier New" w:cs="Courier New" w:eastAsia="Courier New" w:hAnsi="Courier New"/>
                <w:b w:val="1"/>
                <w:bCs w:val="1"/>
                <w:sz w:val="20"/>
                <w:szCs w:val="20"/>
              </w:rPr>
            </w:pPr>
            <w:r w:rsidDel="00000000" w:rsidR="00000000" w:rsidRPr="00000000">
              <w:rPr>
                <w:rFonts w:ascii="Courier New" w:cs="Courier New" w:eastAsia="Courier New" w:hAnsi="Courier New"/>
                <w:b w:val="1"/>
                <w:bCs w:val="1"/>
                <w:sz w:val="20"/>
                <w:szCs w:val="20"/>
                <w:rtl w:val="0"/>
              </w:rPr>
              <w:t xml:space="preserve">Massachusetts</w:t>
            </w:r>
            <w:r w:rsidDel="00000000" w:rsidR="00000000" w:rsidRPr="00000000">
              <w:rPr>
                <w:rtl w:val="0"/>
              </w:rPr>
            </w:r>
          </w:p>
        </w:tc>
      </w:tr>
      <w:tr>
        <w:trPr>
          <w:cantSplit w:val="0"/>
          <w:trHeight w:val="320" w:hRule="atLeast"/>
          <w:tblHeader w:val="0"/>
        </w:trPr>
        <w:tc>
          <w:tcPr>
            <w:tcBorders>
              <w:top w:color="000000" w:space="0" w:sz="6" w:val="single"/>
              <w:left w:color="ffffff" w:space="0" w:sz="6" w:val="single"/>
              <w:bottom w:color="000000"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45">
            <w:pPr>
              <w:widowControl w:val="0"/>
              <w:spacing w:after="0" w:line="276" w:lineRule="auto"/>
              <w:rPr>
                <w:rFonts w:ascii="Courier New" w:cs="Courier New" w:eastAsia="Courier New" w:hAnsi="Courier New"/>
                <w:b w:val="1"/>
                <w:bCs w:val="1"/>
                <w:sz w:val="20"/>
                <w:szCs w:val="20"/>
              </w:rPr>
            </w:pPr>
            <w:r w:rsidDel="00000000" w:rsidR="00000000" w:rsidRPr="00000000">
              <w:rPr>
                <w:rFonts w:ascii="Courier New" w:cs="Courier New" w:eastAsia="Courier New" w:hAnsi="Courier New"/>
                <w:b w:val="1"/>
                <w:bCs w:val="1"/>
                <w:sz w:val="20"/>
                <w:szCs w:val="20"/>
                <w:rtl w:val="0"/>
              </w:rPr>
              <w:t xml:space="preserve">Gender</w:t>
            </w:r>
          </w:p>
        </w:tc>
        <w:tc>
          <w:tcPr>
            <w:tcBorders>
              <w:top w:color="000000" w:space="0" w:sz="6" w:val="single"/>
              <w:left w:color="ffffff" w:space="0" w:sz="6" w:val="single"/>
              <w:bottom w:color="000000"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46">
            <w:pPr>
              <w:widowControl w:val="0"/>
              <w:spacing w:after="0" w:line="276" w:lineRule="auto"/>
              <w:jc w:val="right"/>
              <w:rPr>
                <w:rFonts w:ascii="Courier New" w:cs="Courier New" w:eastAsia="Courier New" w:hAnsi="Courier New"/>
                <w:sz w:val="20"/>
                <w:szCs w:val="20"/>
              </w:rPr>
            </w:pP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47">
            <w:pPr>
              <w:widowControl w:val="0"/>
              <w:spacing w:after="0" w:line="276" w:lineRule="auto"/>
              <w:jc w:val="right"/>
              <w:rPr>
                <w:rFonts w:ascii="Courier New" w:cs="Courier New" w:eastAsia="Courier New" w:hAnsi="Courier New"/>
                <w:sz w:val="20"/>
                <w:szCs w:val="20"/>
              </w:rPr>
            </w:pP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48">
            <w:pPr>
              <w:widowControl w:val="0"/>
              <w:spacing w:after="0" w:line="276" w:lineRule="auto"/>
              <w:jc w:val="right"/>
              <w:rPr>
                <w:rFonts w:ascii="Courier New" w:cs="Courier New" w:eastAsia="Courier New" w:hAnsi="Courier New"/>
                <w:sz w:val="20"/>
                <w:szCs w:val="20"/>
              </w:rPr>
            </w:pPr>
            <w:r w:rsidDel="00000000" w:rsidR="00000000" w:rsidRPr="00000000">
              <w:rPr>
                <w:rtl w:val="0"/>
              </w:rPr>
            </w:r>
          </w:p>
        </w:tc>
      </w:tr>
      <w:tr>
        <w:trPr>
          <w:cantSplit w:val="0"/>
          <w:trHeight w:val="320" w:hRule="atLeast"/>
          <w:tblHeader w:val="0"/>
        </w:trPr>
        <w:tc>
          <w:tcPr>
            <w:tcBorders>
              <w:top w:color="000000" w:space="0" w:sz="6" w:val="single"/>
              <w:left w:color="ffffff" w:space="0" w:sz="6" w:val="single"/>
              <w:bottom w:color="000000"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49">
            <w:pPr>
              <w:widowControl w:val="0"/>
              <w:spacing w:after="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Girl/Woman</w:t>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4A">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80</w:t>
            </w: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4B">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w:t>
            </w: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4C">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r w:rsidDel="00000000" w:rsidR="00000000" w:rsidRPr="00000000">
              <w:rPr>
                <w:rtl w:val="0"/>
              </w:rPr>
            </w:r>
          </w:p>
        </w:tc>
      </w:tr>
      <w:tr>
        <w:trPr>
          <w:cantSplit w:val="0"/>
          <w:trHeight w:val="320" w:hRule="atLeast"/>
          <w:tblHeader w:val="0"/>
        </w:trPr>
        <w:tc>
          <w:tcPr>
            <w:tcBorders>
              <w:top w:color="000000" w:space="0" w:sz="6" w:val="single"/>
              <w:left w:color="ffffff" w:space="0" w:sz="6" w:val="single"/>
              <w:bottom w:color="000000"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4D">
            <w:pPr>
              <w:widowControl w:val="0"/>
              <w:spacing w:after="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Boy/Man</w:t>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4E">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4F">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50">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r w:rsidDel="00000000" w:rsidR="00000000" w:rsidRPr="00000000">
              <w:rPr>
                <w:rtl w:val="0"/>
              </w:rPr>
            </w:r>
          </w:p>
        </w:tc>
      </w:tr>
      <w:tr>
        <w:trPr>
          <w:cantSplit w:val="0"/>
          <w:trHeight w:val="320" w:hRule="atLeast"/>
          <w:tblHeader w:val="0"/>
        </w:trPr>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bottom"/>
          </w:tcPr>
          <w:p w:rsidR="00000000" w:rsidDel="00000000" w:rsidP="00000000" w:rsidRDefault="00000000" w:rsidRPr="00000000" w14:paraId="00000051">
            <w:pPr>
              <w:widowControl w:val="0"/>
              <w:spacing w:after="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Trans, gender non-conforming, non-binary, two-spirit, agender, questioning, prefer not to answer</w:t>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52">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53">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54">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r>
      <w:tr>
        <w:trPr>
          <w:cantSplit w:val="0"/>
          <w:trHeight w:val="320" w:hRule="atLeast"/>
          <w:tblHeader w:val="0"/>
        </w:trPr>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bottom"/>
          </w:tcPr>
          <w:p w:rsidR="00000000" w:rsidDel="00000000" w:rsidP="00000000" w:rsidRDefault="00000000" w:rsidRPr="00000000" w14:paraId="00000055">
            <w:pPr>
              <w:widowControl w:val="0"/>
              <w:spacing w:after="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Total</w:t>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bottom"/>
          </w:tcPr>
          <w:p w:rsidR="00000000" w:rsidDel="00000000" w:rsidP="00000000" w:rsidRDefault="00000000" w:rsidRPr="00000000" w14:paraId="00000056">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156</w:t>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bottom"/>
          </w:tcPr>
          <w:p w:rsidR="00000000" w:rsidDel="00000000" w:rsidP="00000000" w:rsidRDefault="00000000" w:rsidRPr="00000000" w14:paraId="00000057">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bottom"/>
          </w:tcPr>
          <w:p w:rsidR="00000000" w:rsidDel="00000000" w:rsidP="00000000" w:rsidRDefault="00000000" w:rsidRPr="00000000" w14:paraId="00000058">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34</w:t>
            </w:r>
          </w:p>
        </w:tc>
      </w:tr>
      <w:tr>
        <w:trPr>
          <w:cantSplit w:val="0"/>
          <w:trHeight w:val="320" w:hRule="atLeast"/>
          <w:tblHeader w:val="0"/>
        </w:trPr>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bottom"/>
          </w:tcPr>
          <w:p w:rsidR="00000000" w:rsidDel="00000000" w:rsidP="00000000" w:rsidRDefault="00000000" w:rsidRPr="00000000" w14:paraId="00000059">
            <w:pPr>
              <w:widowControl w:val="0"/>
              <w:spacing w:after="0" w:line="276" w:lineRule="auto"/>
              <w:rPr>
                <w:rFonts w:ascii="Courier New" w:cs="Courier New" w:eastAsia="Courier New" w:hAnsi="Courier New"/>
                <w:b w:val="1"/>
                <w:bCs w:val="1"/>
                <w:sz w:val="20"/>
                <w:szCs w:val="20"/>
              </w:rPr>
            </w:pPr>
            <w:r w:rsidDel="00000000" w:rsidR="00000000" w:rsidRPr="00000000">
              <w:rPr>
                <w:rFonts w:ascii="Courier New" w:cs="Courier New" w:eastAsia="Courier New" w:hAnsi="Courier New"/>
                <w:b w:val="1"/>
                <w:bCs w:val="1"/>
                <w:sz w:val="20"/>
                <w:szCs w:val="20"/>
                <w:rtl w:val="0"/>
              </w:rPr>
              <w:t xml:space="preserve">Race/Ethnicity</w:t>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bottom"/>
          </w:tcPr>
          <w:p w:rsidR="00000000" w:rsidDel="00000000" w:rsidP="00000000" w:rsidRDefault="00000000" w:rsidRPr="00000000" w14:paraId="0000005A">
            <w:pPr>
              <w:widowControl w:val="0"/>
              <w:spacing w:after="0" w:line="276" w:lineRule="auto"/>
              <w:jc w:val="center"/>
              <w:rPr>
                <w:rFonts w:ascii="Courier New" w:cs="Courier New" w:eastAsia="Courier New" w:hAnsi="Courier New"/>
                <w:sz w:val="20"/>
                <w:szCs w:val="20"/>
              </w:rPr>
            </w:pP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bottom"/>
          </w:tcPr>
          <w:p w:rsidR="00000000" w:rsidDel="00000000" w:rsidP="00000000" w:rsidRDefault="00000000" w:rsidRPr="00000000" w14:paraId="0000005B">
            <w:pPr>
              <w:widowControl w:val="0"/>
              <w:spacing w:after="0" w:line="276" w:lineRule="auto"/>
              <w:jc w:val="center"/>
              <w:rPr>
                <w:rFonts w:ascii="Courier New" w:cs="Courier New" w:eastAsia="Courier New" w:hAnsi="Courier New"/>
                <w:sz w:val="20"/>
                <w:szCs w:val="20"/>
              </w:rPr>
            </w:pP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bottom"/>
          </w:tcPr>
          <w:p w:rsidR="00000000" w:rsidDel="00000000" w:rsidP="00000000" w:rsidRDefault="00000000" w:rsidRPr="00000000" w14:paraId="0000005C">
            <w:pPr>
              <w:widowControl w:val="0"/>
              <w:spacing w:after="0" w:line="276" w:lineRule="auto"/>
              <w:jc w:val="center"/>
              <w:rPr>
                <w:rFonts w:ascii="Courier New" w:cs="Courier New" w:eastAsia="Courier New" w:hAnsi="Courier New"/>
                <w:sz w:val="20"/>
                <w:szCs w:val="20"/>
              </w:rPr>
            </w:pPr>
            <w:r w:rsidDel="00000000" w:rsidR="00000000" w:rsidRPr="00000000">
              <w:rPr>
                <w:rtl w:val="0"/>
              </w:rPr>
            </w:r>
          </w:p>
        </w:tc>
      </w:tr>
      <w:tr>
        <w:trPr>
          <w:cantSplit w:val="0"/>
          <w:trHeight w:val="320" w:hRule="atLeast"/>
          <w:tblHeader w:val="0"/>
        </w:trPr>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5D">
            <w:pPr>
              <w:widowControl w:val="0"/>
              <w:spacing w:after="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Black or African-American</w:t>
            </w: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5E">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5F">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w:t>
            </w: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60">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r>
      <w:tr>
        <w:trPr>
          <w:cantSplit w:val="0"/>
          <w:trHeight w:val="320" w:hRule="atLeast"/>
          <w:tblHeader w:val="0"/>
        </w:trPr>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61">
            <w:pPr>
              <w:widowControl w:val="0"/>
              <w:spacing w:after="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East Asian</w:t>
            </w: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62">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w:t>
            </w: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63">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64">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r>
      <w:tr>
        <w:trPr>
          <w:cantSplit w:val="0"/>
          <w:trHeight w:val="320" w:hRule="atLeast"/>
          <w:tblHeader w:val="0"/>
        </w:trPr>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65">
            <w:pPr>
              <w:widowControl w:val="0"/>
              <w:spacing w:after="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First Peoples/Native American/Alaska Native</w:t>
            </w: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66">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67">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68">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r w:rsidDel="00000000" w:rsidR="00000000" w:rsidRPr="00000000">
              <w:rPr>
                <w:rtl w:val="0"/>
              </w:rPr>
            </w:r>
          </w:p>
        </w:tc>
      </w:tr>
      <w:tr>
        <w:trPr>
          <w:cantSplit w:val="0"/>
          <w:trHeight w:val="320" w:hRule="atLeast"/>
          <w:tblHeader w:val="0"/>
        </w:trPr>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69">
            <w:pPr>
              <w:widowControl w:val="0"/>
              <w:spacing w:after="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Latinx/Latine/Latin@</w:t>
            </w: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6A">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w:t>
            </w: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6B">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6C">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r w:rsidDel="00000000" w:rsidR="00000000" w:rsidRPr="00000000">
              <w:rPr>
                <w:rtl w:val="0"/>
              </w:rPr>
            </w:r>
          </w:p>
        </w:tc>
      </w:tr>
      <w:tr>
        <w:trPr>
          <w:cantSplit w:val="0"/>
          <w:trHeight w:val="320" w:hRule="atLeast"/>
          <w:tblHeader w:val="0"/>
        </w:trPr>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6D">
            <w:pPr>
              <w:widowControl w:val="0"/>
              <w:spacing w:after="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Middle Eastern and North African (MENA)</w:t>
            </w: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6E">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6F">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70">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r>
      <w:tr>
        <w:trPr>
          <w:cantSplit w:val="0"/>
          <w:trHeight w:val="320" w:hRule="atLeast"/>
          <w:tblHeader w:val="0"/>
        </w:trPr>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71">
            <w:pPr>
              <w:widowControl w:val="0"/>
              <w:spacing w:after="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Native Hawaiian or Pacific Islander</w:t>
            </w: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72">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73">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74">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r>
      <w:tr>
        <w:trPr>
          <w:cantSplit w:val="0"/>
          <w:trHeight w:val="320" w:hRule="atLeast"/>
          <w:tblHeader w:val="0"/>
        </w:trPr>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75">
            <w:pPr>
              <w:widowControl w:val="0"/>
              <w:spacing w:after="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South Asian</w:t>
            </w: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76">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w:t>
            </w: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77">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78">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r w:rsidDel="00000000" w:rsidR="00000000" w:rsidRPr="00000000">
              <w:rPr>
                <w:rtl w:val="0"/>
              </w:rPr>
            </w:r>
          </w:p>
        </w:tc>
      </w:tr>
      <w:tr>
        <w:trPr>
          <w:cantSplit w:val="0"/>
          <w:trHeight w:val="320" w:hRule="atLeast"/>
          <w:tblHeader w:val="0"/>
        </w:trPr>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79">
            <w:pPr>
              <w:widowControl w:val="0"/>
              <w:spacing w:after="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Southeast Asian</w:t>
            </w: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7A">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w:t>
            </w: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7B">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7C">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r>
      <w:tr>
        <w:trPr>
          <w:cantSplit w:val="0"/>
          <w:trHeight w:val="320" w:hRule="atLeast"/>
          <w:tblHeader w:val="0"/>
        </w:trPr>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7D">
            <w:pPr>
              <w:widowControl w:val="0"/>
              <w:spacing w:after="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White</w:t>
            </w: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7E">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26</w:t>
            </w: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7F">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80">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r>
      <w:tr>
        <w:trPr>
          <w:cantSplit w:val="0"/>
          <w:trHeight w:val="320" w:hRule="atLeast"/>
          <w:tblHeader w:val="0"/>
        </w:trPr>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81">
            <w:pPr>
              <w:widowControl w:val="0"/>
              <w:spacing w:after="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sure/prefer not to answer</w:t>
            </w: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82">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83">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84">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r w:rsidDel="00000000" w:rsidR="00000000" w:rsidRPr="00000000">
              <w:rPr>
                <w:rtl w:val="0"/>
              </w:rPr>
            </w:r>
          </w:p>
        </w:tc>
      </w:tr>
      <w:tr>
        <w:trPr>
          <w:cantSplit w:val="0"/>
          <w:trHeight w:val="320" w:hRule="atLeast"/>
          <w:tblHeader w:val="0"/>
        </w:trPr>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85">
            <w:pPr>
              <w:widowControl w:val="0"/>
              <w:spacing w:after="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Total</w:t>
            </w: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86">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96</w:t>
            </w: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87">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tcMar>
              <w:top w:w="0.0" w:type="dxa"/>
              <w:left w:w="40.0" w:type="dxa"/>
              <w:bottom w:w="0.0" w:type="dxa"/>
              <w:right w:w="40.0" w:type="dxa"/>
            </w:tcMar>
            <w:vAlign w:val="top"/>
          </w:tcPr>
          <w:p w:rsidR="00000000" w:rsidDel="00000000" w:rsidP="00000000" w:rsidRDefault="00000000" w:rsidRPr="00000000" w14:paraId="00000088">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r w:rsidDel="00000000" w:rsidR="00000000" w:rsidRPr="00000000">
              <w:rPr>
                <w:rtl w:val="0"/>
              </w:rPr>
            </w:r>
          </w:p>
        </w:tc>
      </w:tr>
    </w:tbl>
    <w:p w:rsidR="00000000" w:rsidDel="00000000" w:rsidP="00000000" w:rsidRDefault="00000000" w:rsidRPr="00000000" w14:paraId="00000089">
      <w:pPr>
        <w:spacing w:line="276" w:lineRule="auto"/>
        <w:rPr>
          <w:rFonts w:ascii="Poppins Light" w:cs="Poppins Light" w:eastAsia="Poppins Light" w:hAnsi="Poppins Light"/>
          <w:sz w:val="18"/>
          <w:szCs w:val="18"/>
        </w:rPr>
      </w:pPr>
      <w:r w:rsidDel="00000000" w:rsidR="00000000" w:rsidRPr="00000000">
        <w:rPr>
          <w:sz w:val="18"/>
          <w:szCs w:val="18"/>
          <w:rtl w:val="0"/>
        </w:rPr>
        <w:t xml:space="preserve">Note. Not all surveys included both gender and race/ethnicity. Students could select more than one race/ethnicity. </w:t>
      </w:r>
      <w:r w:rsidDel="00000000" w:rsidR="00000000" w:rsidRPr="00000000">
        <w:rPr>
          <w:rtl w:val="0"/>
        </w:rPr>
      </w:r>
    </w:p>
    <w:p w:rsidR="00000000" w:rsidDel="00000000" w:rsidP="00000000" w:rsidRDefault="00000000" w:rsidRPr="00000000" w14:paraId="0000008A">
      <w:pPr>
        <w:spacing w:after="0" w:line="276" w:lineRule="auto"/>
        <w:rPr>
          <w:b w:val="1"/>
          <w:bCs w:val="1"/>
          <w:color w:val="058572"/>
          <w:sz w:val="40"/>
          <w:szCs w:val="40"/>
        </w:rPr>
      </w:pPr>
      <w:r w:rsidDel="00000000" w:rsidR="00000000" w:rsidRPr="00000000">
        <w:rPr>
          <w:b w:val="1"/>
          <w:bCs w:val="1"/>
          <w:color w:val="058572"/>
          <w:sz w:val="40"/>
          <w:szCs w:val="40"/>
          <w:rtl w:val="0"/>
        </w:rPr>
        <w:t xml:space="preserve">Findings</w:t>
      </w:r>
    </w:p>
    <w:p w:rsidR="00000000" w:rsidDel="00000000" w:rsidP="00000000" w:rsidRDefault="00000000" w:rsidRPr="00000000" w14:paraId="0000008B">
      <w:pPr>
        <w:spacing w:line="276" w:lineRule="auto"/>
        <w:rPr/>
      </w:pPr>
      <w:r w:rsidDel="00000000" w:rsidR="00000000" w:rsidRPr="00000000">
        <w:rPr>
          <w:rtl w:val="0"/>
        </w:rPr>
        <w:t xml:space="preserve">Looking at survey responses for the science orientation constructs (Figure 2), Science Values, Competency Beliefs, and Science Identity we see increases in the mean score across all of these from pre to post. </w:t>
      </w:r>
      <w:r w:rsidDel="00000000" w:rsidR="00000000" w:rsidRPr="00000000">
        <w:rPr>
          <w:rtl w:val="0"/>
        </w:rPr>
      </w:r>
    </w:p>
    <w:p w:rsidR="00000000" w:rsidDel="00000000" w:rsidP="00000000" w:rsidRDefault="00000000" w:rsidRPr="00000000" w14:paraId="0000008C">
      <w:pPr>
        <w:keepNext w:val="1"/>
        <w:spacing w:after="0" w:line="276" w:lineRule="auto"/>
        <w:rPr>
          <w:rFonts w:ascii="Courier New" w:cs="Courier New" w:eastAsia="Courier New" w:hAnsi="Courier New"/>
          <w:b w:val="1"/>
          <w:bCs w:val="1"/>
          <w:i w:val="1"/>
          <w:iCs w:val="1"/>
        </w:rPr>
      </w:pPr>
      <w:r w:rsidDel="00000000" w:rsidR="00000000" w:rsidRPr="00000000">
        <w:rPr>
          <w:rFonts w:ascii="Courier New" w:cs="Courier New" w:eastAsia="Courier New" w:hAnsi="Courier New"/>
          <w:i w:val="1"/>
          <w:iCs w:val="1"/>
          <w:rtl w:val="0"/>
        </w:rPr>
        <w:t xml:space="preserve">Figure 2: Mean Retro-Pre and Post Scores for Science Orientation Constructs across participants.</w:t>
      </w:r>
      <w:r w:rsidDel="00000000" w:rsidR="00000000" w:rsidRPr="00000000">
        <w:rPr>
          <w:rFonts w:ascii="Courier New" w:cs="Courier New" w:eastAsia="Courier New" w:hAnsi="Courier New"/>
          <w:b w:val="1"/>
          <w:bCs w:val="1"/>
          <w:i w:val="1"/>
          <w:iCs w:val="1"/>
          <w:rtl w:val="0"/>
        </w:rPr>
        <w:t xml:space="preserve"> </w:t>
      </w:r>
    </w:p>
    <w:p w:rsidR="00000000" w:rsidDel="00000000" w:rsidP="00000000" w:rsidRDefault="00000000" w:rsidRPr="00000000" w14:paraId="0000008D">
      <w:pPr>
        <w:spacing w:line="276" w:lineRule="auto"/>
        <w:rPr/>
      </w:pPr>
      <w:r w:rsidDel="00000000" w:rsidR="00000000" w:rsidRPr="00000000">
        <w:rPr/>
        <w:drawing>
          <wp:inline distB="114300" distT="114300" distL="114300" distR="114300">
            <wp:extent cx="5805488" cy="3827081"/>
            <wp:effectExtent b="0" l="0" r="0" t="0"/>
            <wp:docPr descr="Chart" id="1" name="image1.png"/>
            <a:graphic>
              <a:graphicData uri="http://schemas.openxmlformats.org/drawingml/2006/picture">
                <pic:pic>
                  <pic:nvPicPr>
                    <pic:cNvPr descr="Chart" id="0" name="image1.png"/>
                    <pic:cNvPicPr preferRelativeResize="0"/>
                  </pic:nvPicPr>
                  <pic:blipFill>
                    <a:blip r:embed="rId7"/>
                    <a:srcRect b="0" l="0" r="0" t="0"/>
                    <a:stretch>
                      <a:fillRect/>
                    </a:stretch>
                  </pic:blipFill>
                  <pic:spPr>
                    <a:xfrm>
                      <a:off x="0" y="0"/>
                      <a:ext cx="5805488" cy="3827081"/>
                    </a:xfrm>
                    <a:prstGeom prst="rect"/>
                    <a:ln/>
                  </pic:spPr>
                </pic:pic>
              </a:graphicData>
            </a:graphic>
          </wp:inline>
        </w:drawing>
      </w:r>
      <w:r w:rsidDel="00000000" w:rsidR="00000000" w:rsidRPr="00000000">
        <w:rPr>
          <w:rtl w:val="0"/>
        </w:rPr>
      </w:r>
    </w:p>
    <w:p w:rsidR="00000000" w:rsidDel="00000000" w:rsidP="00000000" w:rsidRDefault="00000000" w:rsidRPr="00000000" w14:paraId="0000008E">
      <w:pPr>
        <w:spacing w:line="276" w:lineRule="auto"/>
        <w:rPr/>
      </w:pPr>
      <w:r w:rsidDel="00000000" w:rsidR="00000000" w:rsidRPr="00000000">
        <w:rPr>
          <w:rtl w:val="0"/>
        </w:rPr>
        <w:t xml:space="preserve">We see a similar pattern in responses for the survey scales associated with Activism Orientation, personal salience, perceived behavioral control, and critical consciousness (Figure 3). All three scales see an increase in mean scores between pre and post. </w:t>
      </w:r>
    </w:p>
    <w:p w:rsidR="00000000" w:rsidDel="00000000" w:rsidP="00000000" w:rsidRDefault="00000000" w:rsidRPr="00000000" w14:paraId="0000008F">
      <w:pPr>
        <w:keepNext w:val="1"/>
        <w:spacing w:line="276" w:lineRule="auto"/>
        <w:rPr>
          <w:rFonts w:ascii="Courier New" w:cs="Courier New" w:eastAsia="Courier New" w:hAnsi="Courier New"/>
          <w:i w:val="1"/>
          <w:iCs w:val="1"/>
        </w:rPr>
      </w:pPr>
      <w:r w:rsidDel="00000000" w:rsidR="00000000" w:rsidRPr="00000000">
        <w:rPr>
          <w:rFonts w:ascii="Courier New" w:cs="Courier New" w:eastAsia="Courier New" w:hAnsi="Courier New"/>
          <w:i w:val="1"/>
          <w:iCs w:val="1"/>
          <w:rtl w:val="0"/>
        </w:rPr>
        <w:t xml:space="preserve">Figure 3: Mean Retro-Pre and Post Scores for Activism Orientation Constructs across participants.</w:t>
      </w:r>
    </w:p>
    <w:p w:rsidR="00000000" w:rsidDel="00000000" w:rsidP="00000000" w:rsidRDefault="00000000" w:rsidRPr="00000000" w14:paraId="00000090">
      <w:pPr>
        <w:spacing w:line="276" w:lineRule="auto"/>
        <w:rPr/>
      </w:pPr>
      <w:r w:rsidDel="00000000" w:rsidR="00000000" w:rsidRPr="00000000">
        <w:rPr/>
        <w:drawing>
          <wp:inline distB="114300" distT="114300" distL="114300" distR="114300">
            <wp:extent cx="5548313" cy="3646845"/>
            <wp:effectExtent b="0" l="0" r="0" t="0"/>
            <wp:docPr descr="Chart" id="3" name="image3.png"/>
            <a:graphic>
              <a:graphicData uri="http://schemas.openxmlformats.org/drawingml/2006/picture">
                <pic:pic>
                  <pic:nvPicPr>
                    <pic:cNvPr descr="Chart" id="0" name="image3.png"/>
                    <pic:cNvPicPr preferRelativeResize="0"/>
                  </pic:nvPicPr>
                  <pic:blipFill>
                    <a:blip r:embed="rId8"/>
                    <a:srcRect b="0" l="0" r="0" t="0"/>
                    <a:stretch>
                      <a:fillRect/>
                    </a:stretch>
                  </pic:blipFill>
                  <pic:spPr>
                    <a:xfrm>
                      <a:off x="0" y="0"/>
                      <a:ext cx="5548313" cy="3646845"/>
                    </a:xfrm>
                    <a:prstGeom prst="rect"/>
                    <a:ln/>
                  </pic:spPr>
                </pic:pic>
              </a:graphicData>
            </a:graphic>
          </wp:inline>
        </w:drawing>
      </w:r>
      <w:r w:rsidDel="00000000" w:rsidR="00000000" w:rsidRPr="00000000">
        <w:rPr>
          <w:rtl w:val="0"/>
        </w:rPr>
      </w:r>
    </w:p>
    <w:p w:rsidR="00000000" w:rsidDel="00000000" w:rsidP="00000000" w:rsidRDefault="00000000" w:rsidRPr="00000000" w14:paraId="00000091">
      <w:pPr>
        <w:spacing w:line="276" w:lineRule="auto"/>
        <w:rPr/>
      </w:pPr>
      <w:r w:rsidDel="00000000" w:rsidR="00000000" w:rsidRPr="00000000">
        <w:rPr>
          <w:rtl w:val="0"/>
        </w:rPr>
        <w:t xml:space="preserve">Below in Table 2 we can see that the differences between pre and post means are statistically significant across all scales. This means that on average participants in this program increased across all scales, implying that the program facilitated increased their science and activism orientation, or what we would call a science activism mindset. </w:t>
      </w:r>
    </w:p>
    <w:p w:rsidR="00000000" w:rsidDel="00000000" w:rsidP="00000000" w:rsidRDefault="00000000" w:rsidRPr="00000000" w14:paraId="00000092">
      <w:pPr>
        <w:widowControl w:val="0"/>
        <w:rPr>
          <w:rFonts w:ascii="Courier New" w:cs="Courier New" w:eastAsia="Courier New" w:hAnsi="Courier New"/>
          <w:i w:val="1"/>
          <w:iCs w:val="1"/>
        </w:rPr>
      </w:pPr>
      <w:r w:rsidDel="00000000" w:rsidR="00000000" w:rsidRPr="00000000">
        <w:rPr>
          <w:rFonts w:ascii="Courier New" w:cs="Courier New" w:eastAsia="Courier New" w:hAnsi="Courier New"/>
          <w:i w:val="1"/>
          <w:iCs w:val="1"/>
          <w:rtl w:val="0"/>
        </w:rPr>
        <w:t xml:space="preserve">Table 2. Mean Scale Score T-test Findings.</w:t>
      </w:r>
      <w:r w:rsidDel="00000000" w:rsidR="00000000" w:rsidRPr="00000000">
        <w:rPr>
          <w:rFonts w:ascii="Courier New" w:cs="Courier New" w:eastAsia="Courier New" w:hAnsi="Courier New"/>
          <w:b w:val="1"/>
          <w:bCs w:val="1"/>
          <w:i w:val="1"/>
          <w:iCs w:val="1"/>
          <w:rtl w:val="0"/>
        </w:rPr>
        <w:t xml:space="preserve"> </w:t>
      </w:r>
      <w:r w:rsidDel="00000000" w:rsidR="00000000" w:rsidRPr="00000000">
        <w:rPr>
          <w:rtl w:val="0"/>
        </w:rPr>
      </w:r>
    </w:p>
    <w:tbl>
      <w:tblPr>
        <w:tblStyle w:val="Table3"/>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20"/>
        <w:gridCol w:w="795"/>
        <w:gridCol w:w="795"/>
        <w:gridCol w:w="795"/>
        <w:gridCol w:w="795"/>
        <w:gridCol w:w="765"/>
        <w:gridCol w:w="855"/>
        <w:gridCol w:w="765"/>
        <w:gridCol w:w="795"/>
        <w:gridCol w:w="795"/>
        <w:tblGridChange w:id="0">
          <w:tblGrid>
            <w:gridCol w:w="2220"/>
            <w:gridCol w:w="795"/>
            <w:gridCol w:w="795"/>
            <w:gridCol w:w="795"/>
            <w:gridCol w:w="795"/>
            <w:gridCol w:w="765"/>
            <w:gridCol w:w="855"/>
            <w:gridCol w:w="765"/>
            <w:gridCol w:w="795"/>
            <w:gridCol w:w="795"/>
          </w:tblGrid>
        </w:tblGridChange>
      </w:tblGrid>
      <w:tr>
        <w:trPr>
          <w:cantSplit w:val="1"/>
          <w:trHeight w:val="728.9843750000001" w:hRule="atLeast"/>
          <w:tblHeader w:val="0"/>
        </w:trPr>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93">
            <w:pPr>
              <w:widowControl w:val="0"/>
              <w:spacing w:after="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94">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n</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Mean</w:t>
            </w:r>
          </w:p>
          <w:p w:rsidR="00000000" w:rsidDel="00000000" w:rsidP="00000000" w:rsidRDefault="00000000" w:rsidRPr="00000000" w14:paraId="00000096">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Pre</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97">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SD</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Mean</w:t>
            </w:r>
          </w:p>
          <w:p w:rsidR="00000000" w:rsidDel="00000000" w:rsidP="00000000" w:rsidRDefault="00000000" w:rsidRPr="00000000" w14:paraId="00000099">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Post</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9A">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SD</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Mean</w:t>
            </w:r>
          </w:p>
          <w:p w:rsidR="00000000" w:rsidDel="00000000" w:rsidP="00000000" w:rsidRDefault="00000000" w:rsidRPr="00000000" w14:paraId="0000009C">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Dif.</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9D">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SD</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9E">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sig.</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Effect</w:t>
            </w:r>
          </w:p>
          <w:p w:rsidR="00000000" w:rsidDel="00000000" w:rsidP="00000000" w:rsidRDefault="00000000" w:rsidRPr="00000000" w14:paraId="000000A0">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size</w:t>
            </w:r>
          </w:p>
        </w:tc>
      </w:tr>
      <w:tr>
        <w:trPr>
          <w:cantSplit w:val="1"/>
          <w:trHeight w:val="359.49218750000006" w:hRule="atLeast"/>
          <w:tblHeader w:val="0"/>
        </w:trPr>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A1">
            <w:pPr>
              <w:widowControl w:val="0"/>
              <w:spacing w:after="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Science Values</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A2">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184</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A3">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2.84</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A4">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0.45</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A5">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3.17</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A6">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0.45</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A7">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-0.33</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A8">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0.35</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A9">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&lt;.05</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AA">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0.96</w:t>
            </w:r>
          </w:p>
        </w:tc>
      </w:tr>
      <w:tr>
        <w:trPr>
          <w:cantSplit w:val="1"/>
          <w:trHeight w:val="144" w:hRule="atLeast"/>
          <w:tblHeader w:val="0"/>
        </w:trPr>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AB">
            <w:pPr>
              <w:widowControl w:val="0"/>
              <w:spacing w:after="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Competency Beliefs</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AC">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206</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AD">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2.66</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AE">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0.49</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AF">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3.06</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B0">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0.47</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B1">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-0.41</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B2">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0.36</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B3">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&lt;.05</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B4">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1.13</w:t>
            </w:r>
          </w:p>
        </w:tc>
      </w:tr>
      <w:tr>
        <w:trPr>
          <w:cantSplit w:val="1"/>
          <w:trHeight w:val="144" w:hRule="atLeast"/>
          <w:tblHeader w:val="0"/>
        </w:trPr>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B5">
            <w:pPr>
              <w:widowControl w:val="0"/>
              <w:spacing w:after="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Science Identity</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B6">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204</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B7">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2.49</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B8">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0.72</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B9">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2.75</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BA">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0.72</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BB">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-0.25</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BC">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0.36</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BD">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&lt;.05</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BE">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0.72</w:t>
            </w:r>
          </w:p>
        </w:tc>
      </w:tr>
      <w:tr>
        <w:trPr>
          <w:cantSplit w:val="1"/>
          <w:trHeight w:val="144" w:hRule="atLeast"/>
          <w:tblHeader w:val="0"/>
        </w:trPr>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BF">
            <w:pPr>
              <w:widowControl w:val="0"/>
              <w:spacing w:after="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Personal Salience</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C0">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144</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C1">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2.59</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C2">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0.6</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C3">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3.38</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C4">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0.61</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C5">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-0.8</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C6">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0.61</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C7">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&lt;.05</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C8">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1.32</w:t>
            </w:r>
          </w:p>
        </w:tc>
      </w:tr>
      <w:tr>
        <w:trPr>
          <w:cantSplit w:val="1"/>
          <w:trHeight w:val="144" w:hRule="atLeast"/>
          <w:tblHeader w:val="0"/>
        </w:trPr>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C9">
            <w:pPr>
              <w:widowControl w:val="0"/>
              <w:spacing w:after="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Perceived Behavioral Control</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CA">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142</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CB">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2.38</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CC">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0.6</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CD">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3.06</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CE">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0.63</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CF">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-0.68</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D0">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0.52</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D1">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&lt;.05</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D2">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1.31</w:t>
            </w:r>
          </w:p>
        </w:tc>
      </w:tr>
      <w:tr>
        <w:trPr>
          <w:cantSplit w:val="1"/>
          <w:trHeight w:val="144" w:hRule="atLeast"/>
          <w:tblHeader w:val="0"/>
        </w:trPr>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D3">
            <w:pPr>
              <w:widowControl w:val="0"/>
              <w:spacing w:after="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Critical Consciousness</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D4">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139</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D5">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2.89</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D6">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0.58</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D7">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3.36</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D8">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0.53</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D9">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-0.48</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DA">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0.43</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DB">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&lt;.05</w:t>
            </w:r>
          </w:p>
        </w:tc>
        <w:tc>
          <w:tcPr>
            <w:tcBorders>
              <w:top w:color="000000" w:space="0" w:sz="0" w:val="nil"/>
              <w:left w:color="000000" w:space="0" w:sz="0" w:val="nil"/>
              <w:bottom w:color="000000" w:space="0" w:sz="3"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DC">
            <w:pPr>
              <w:widowControl w:val="0"/>
              <w:spacing w:after="0" w:lineRule="auto"/>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1.11</w:t>
            </w:r>
          </w:p>
        </w:tc>
      </w:tr>
    </w:tbl>
    <w:p w:rsidR="00000000" w:rsidDel="00000000" w:rsidP="00000000" w:rsidRDefault="00000000" w:rsidRPr="00000000" w14:paraId="000000DD">
      <w:pPr>
        <w:spacing w:line="276"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DE">
      <w:pPr>
        <w:spacing w:line="276" w:lineRule="auto"/>
        <w:rPr/>
      </w:pPr>
      <w:r w:rsidDel="00000000" w:rsidR="00000000" w:rsidRPr="00000000">
        <w:rPr>
          <w:rtl w:val="0"/>
        </w:rPr>
        <w:t xml:space="preserve">To further demonstrate how this community-based scientific research program can expand youth’s connection to science and their community through building a  science activist, we draw on statements from participants. For example, one participant described how their consciousness of these issues had been raised </w:t>
      </w:r>
    </w:p>
    <w:p w:rsidR="00000000" w:rsidDel="00000000" w:rsidP="00000000" w:rsidRDefault="00000000" w:rsidRPr="00000000" w14:paraId="000000DF">
      <w:pPr>
        <w:spacing w:line="276" w:lineRule="auto"/>
        <w:ind w:left="720" w:firstLine="0"/>
        <w:rPr>
          <w:i w:val="1"/>
          <w:iCs w:val="1"/>
        </w:rPr>
      </w:pPr>
      <w:r w:rsidDel="00000000" w:rsidR="00000000" w:rsidRPr="00000000">
        <w:rPr>
          <w:i w:val="1"/>
          <w:iCs w:val="1"/>
          <w:rtl w:val="0"/>
        </w:rPr>
        <w:t xml:space="preserve">I didn’t realize how important [lead poisoning] was until the program. Because they talked about [how] it affected children… I think it's really important just because it has a super huge effect on children and adults. And I think it needs to be sort of talked about more after this. - Recent Participant. </w:t>
      </w:r>
    </w:p>
    <w:p w:rsidR="00000000" w:rsidDel="00000000" w:rsidP="00000000" w:rsidRDefault="00000000" w:rsidRPr="00000000" w14:paraId="000000E0">
      <w:pPr>
        <w:spacing w:line="276" w:lineRule="auto"/>
        <w:ind w:left="0" w:firstLine="0"/>
        <w:rPr/>
      </w:pPr>
      <w:r w:rsidDel="00000000" w:rsidR="00000000" w:rsidRPr="00000000">
        <w:rPr>
          <w:rtl w:val="0"/>
        </w:rPr>
        <w:t xml:space="preserve">Others recognized the importance of the connection to community, that because this issue is something that impacts where they live, it is more important for them to be aware and to do something about it. </w:t>
      </w:r>
    </w:p>
    <w:p w:rsidR="00000000" w:rsidDel="00000000" w:rsidP="00000000" w:rsidRDefault="00000000" w:rsidRPr="00000000" w14:paraId="000000E1">
      <w:pPr>
        <w:spacing w:line="240" w:lineRule="auto"/>
        <w:ind w:left="720" w:firstLine="0"/>
        <w:rPr>
          <w:i w:val="1"/>
          <w:iCs w:val="1"/>
        </w:rPr>
      </w:pPr>
      <w:r w:rsidDel="00000000" w:rsidR="00000000" w:rsidRPr="00000000">
        <w:rPr>
          <w:i w:val="1"/>
          <w:iCs w:val="1"/>
          <w:rtl w:val="0"/>
        </w:rPr>
        <w:t xml:space="preserve">It brings it a little closer because sometimes when you don't really learn about something, it can seem a lot farther away, but we're learning about it in the community, so it feels a lot more real. –Recent Participant</w:t>
      </w:r>
    </w:p>
    <w:p w:rsidR="00000000" w:rsidDel="00000000" w:rsidP="00000000" w:rsidRDefault="00000000" w:rsidRPr="00000000" w14:paraId="000000E2">
      <w:pPr>
        <w:spacing w:line="240" w:lineRule="auto"/>
        <w:ind w:left="720" w:firstLine="0"/>
        <w:rPr/>
      </w:pPr>
      <w:r w:rsidDel="00000000" w:rsidR="00000000" w:rsidRPr="00000000">
        <w:rPr>
          <w:i w:val="1"/>
          <w:iCs w:val="1"/>
          <w:rtl w:val="0"/>
        </w:rPr>
        <w:t xml:space="preserve">I felt like I had fostered a better community by being in the program. It's realizing my actions can help so many people out. And it's in a way important for us to try to realize we're all connected together in some way…our actions can…help other people out in a lot of ways like directly within all the communities that we're in. –Alumni</w:t>
      </w:r>
      <w:r w:rsidDel="00000000" w:rsidR="00000000" w:rsidRPr="00000000">
        <w:rPr>
          <w:rtl w:val="0"/>
        </w:rPr>
      </w:r>
    </w:p>
    <w:p w:rsidR="00000000" w:rsidDel="00000000" w:rsidP="00000000" w:rsidRDefault="00000000" w:rsidRPr="00000000" w14:paraId="000000E3">
      <w:pPr>
        <w:spacing w:line="240" w:lineRule="auto"/>
        <w:ind w:left="0" w:firstLine="0"/>
        <w:rPr/>
      </w:pPr>
      <w:r w:rsidDel="00000000" w:rsidR="00000000" w:rsidRPr="00000000">
        <w:rPr>
          <w:rtl w:val="0"/>
        </w:rPr>
        <w:t xml:space="preserve">Other participants stated that simply knowing about heavy metal in the soil and the health impacts that they can cause was not enough. They recognized the importance of science in making the argument and how they themselves want to contribute to solutions. </w:t>
      </w:r>
    </w:p>
    <w:p w:rsidR="00000000" w:rsidDel="00000000" w:rsidP="00000000" w:rsidRDefault="00000000" w:rsidRPr="00000000" w14:paraId="000000E4">
      <w:pPr>
        <w:spacing w:before="200" w:line="240" w:lineRule="auto"/>
        <w:ind w:left="720" w:firstLine="0"/>
        <w:rPr>
          <w:i w:val="1"/>
          <w:iCs w:val="1"/>
        </w:rPr>
      </w:pPr>
      <w:r w:rsidDel="00000000" w:rsidR="00000000" w:rsidRPr="00000000">
        <w:rPr>
          <w:i w:val="1"/>
          <w:iCs w:val="1"/>
          <w:rtl w:val="0"/>
        </w:rPr>
        <w:t xml:space="preserve">I think it kind of helped reinforce that you need like data to backup your evidence...the premise of the flyer was educate people in the area about the high lead concentrations, but obviously that would not have really worked as well without the actual map of the lead concentrations. –Recent Participant</w:t>
      </w:r>
    </w:p>
    <w:p w:rsidR="00000000" w:rsidDel="00000000" w:rsidP="00000000" w:rsidRDefault="00000000" w:rsidRPr="00000000" w14:paraId="000000E5">
      <w:pPr>
        <w:spacing w:before="200" w:line="240" w:lineRule="auto"/>
        <w:ind w:left="720" w:firstLine="0"/>
        <w:rPr>
          <w:i w:val="1"/>
          <w:iCs w:val="1"/>
        </w:rPr>
      </w:pPr>
      <w:r w:rsidDel="00000000" w:rsidR="00000000" w:rsidRPr="00000000">
        <w:rPr>
          <w:i w:val="1"/>
          <w:iCs w:val="1"/>
          <w:rtl w:val="0"/>
        </w:rPr>
        <w:t xml:space="preserve">I think that's when I first learned about how much things can impact a community…from there I learned about how lead can impact communities and how severe the effects are. I didn't know that stuff existed and then this actually led me to getting another internship about environmental justice. –Alumni</w:t>
      </w:r>
    </w:p>
    <w:p w:rsidR="00000000" w:rsidDel="00000000" w:rsidP="00000000" w:rsidRDefault="00000000" w:rsidRPr="00000000" w14:paraId="000000E6">
      <w:pPr>
        <w:spacing w:before="200" w:line="240" w:lineRule="auto"/>
        <w:ind w:left="0" w:firstLine="0"/>
        <w:rPr/>
      </w:pPr>
      <w:r w:rsidDel="00000000" w:rsidR="00000000" w:rsidRPr="00000000">
        <w:rPr>
          <w:rtl w:val="0"/>
        </w:rPr>
        <w:t xml:space="preserve">Another example of the impact the program can have is on the alumni that have participated. Through the alumni interviews, we heard several stories of how the program contributed to their commitment to making a difference for their communities. For example, one alumni from the 2021 cohort described how her participation in EBAYS programming contributed to her decision to major in Natural Resources and her desire to pursue journalism with an environmental justice lens. Another alumni reported how they used their knowledge about lead regulations derived from EBAYS programming to obtain an internship position. They also earned their real estate license to help low-income communities know more about the impact of redlining on housing and housing access. </w:t>
      </w:r>
      <w:r w:rsidDel="00000000" w:rsidR="00000000" w:rsidRPr="00000000">
        <w:rPr>
          <w:rtl w:val="0"/>
        </w:rPr>
      </w:r>
    </w:p>
    <w:p w:rsidR="00000000" w:rsidDel="00000000" w:rsidP="00000000" w:rsidRDefault="00000000" w:rsidRPr="00000000" w14:paraId="000000E7">
      <w:pPr>
        <w:pStyle w:val="Heading2"/>
        <w:rPr/>
      </w:pPr>
      <w:bookmarkStart w:colFirst="0" w:colLast="0" w:name="_q9izqkbehz6c" w:id="14"/>
      <w:bookmarkEnd w:id="14"/>
      <w:r w:rsidDel="00000000" w:rsidR="00000000" w:rsidRPr="00000000">
        <w:rPr>
          <w:rtl w:val="0"/>
        </w:rPr>
        <w:t xml:space="preserve">Summary of Impacts</w:t>
      </w:r>
      <w:r w:rsidDel="00000000" w:rsidR="00000000" w:rsidRPr="00000000">
        <w:rPr>
          <w:rtl w:val="0"/>
        </w:rPr>
      </w:r>
    </w:p>
    <w:p w:rsidR="00000000" w:rsidDel="00000000" w:rsidP="00000000" w:rsidRDefault="00000000" w:rsidRPr="00000000" w14:paraId="000000E8">
      <w:pPr>
        <w:spacing w:line="276" w:lineRule="auto"/>
        <w:rPr>
          <w:rFonts w:ascii="Poppins Light" w:cs="Poppins Light" w:eastAsia="Poppins Light" w:hAnsi="Poppins Light"/>
          <w:sz w:val="22"/>
          <w:szCs w:val="22"/>
        </w:rPr>
      </w:pPr>
      <w:r w:rsidDel="00000000" w:rsidR="00000000" w:rsidRPr="00000000">
        <w:rPr>
          <w:rtl w:val="0"/>
        </w:rPr>
        <w:t xml:space="preserve">Community-based, justice-oriented science learning transforms the traditional classroom experience by grounding scientific concepts in local histories, community perspectives, and shared resources. By making content deeply relevant to learners’ everyday lives, this approach does more than just prepare students for future academic success; it actively positions them to leverage science as a catalyst for driving positive change in their own neighborhoods. Ultimately, by fostering a justice-oriented and interdisciplinary mindset, this model breaks down traditional barriers to entry, making science more inclusive, accessible, and meaningful for everyone.</w:t>
      </w:r>
      <w:r w:rsidDel="00000000" w:rsidR="00000000" w:rsidRPr="00000000">
        <w:rPr>
          <w:rtl w:val="0"/>
        </w:rPr>
      </w:r>
    </w:p>
    <w:p w:rsidR="00000000" w:rsidDel="00000000" w:rsidP="00000000" w:rsidRDefault="00000000" w:rsidRPr="00000000" w14:paraId="000000E9">
      <w:pPr>
        <w:pStyle w:val="Heading1"/>
        <w:spacing w:after="120" w:lineRule="auto"/>
        <w:rPr/>
      </w:pPr>
      <w:bookmarkStart w:colFirst="0" w:colLast="0" w:name="_4d34og8" w:id="15"/>
      <w:bookmarkEnd w:id="15"/>
      <w:r w:rsidDel="00000000" w:rsidR="00000000" w:rsidRPr="00000000">
        <w:rPr>
          <w:rtl w:val="0"/>
        </w:rPr>
        <w:t xml:space="preserve">Conclusion </w:t>
      </w:r>
      <w:r w:rsidDel="00000000" w:rsidR="00000000" w:rsidRPr="00000000">
        <w:rPr>
          <w:rtl w:val="0"/>
        </w:rPr>
      </w:r>
    </w:p>
    <w:p w:rsidR="00000000" w:rsidDel="00000000" w:rsidP="00000000" w:rsidRDefault="00000000" w:rsidRPr="00000000" w14:paraId="000000EA">
      <w:pPr>
        <w:spacing w:line="276" w:lineRule="auto"/>
        <w:rPr/>
      </w:pPr>
      <w:r w:rsidDel="00000000" w:rsidR="00000000" w:rsidRPr="00000000">
        <w:rPr>
          <w:rtl w:val="0"/>
        </w:rPr>
        <w:t xml:space="preserve">Community-embedded environmental research projects like those presented by EBAYS are critical to addressing environmental problems exacerbated by societal decisions. Raising awareness directly within the communities through the active involvement of the community in the research is critical for creating meaningful change, in both behaviors of the community and in the eventual clean up of the persistent issues. </w:t>
      </w:r>
    </w:p>
    <w:p w:rsidR="00000000" w:rsidDel="00000000" w:rsidP="00000000" w:rsidRDefault="00000000" w:rsidRPr="00000000" w14:paraId="000000EB">
      <w:pPr>
        <w:spacing w:line="276" w:lineRule="auto"/>
        <w:rPr/>
      </w:pPr>
      <w:r w:rsidDel="00000000" w:rsidR="00000000" w:rsidRPr="00000000">
        <w:rPr>
          <w:rtl w:val="0"/>
        </w:rPr>
        <w:t xml:space="preserve">As demonstrated in this brief, by engaging in such research participants become more aware of the ability of science to be marshalled for social change. Furthermore, through participation in the project’s programming youth recognize the relevance of some of the subject matter they are exposed to in school to their lived experience and greater community, and that they can be catalysts for change. These results have been consistent across educators, cohorts, locations, and communities. The programs have varied in their implementation across these sites, yet participants consistently are more aware of their role in making change for their communities and begin to see themselves as an agent of change through science activism.</w:t>
      </w:r>
    </w:p>
    <w:p w:rsidR="00000000" w:rsidDel="00000000" w:rsidP="00000000" w:rsidRDefault="00000000" w:rsidRPr="00000000" w14:paraId="000000EC">
      <w:pPr>
        <w:spacing w:after="0" w:line="276.0005454545455" w:lineRule="auto"/>
        <w:rPr/>
      </w:pPr>
      <w:r w:rsidDel="00000000" w:rsidR="00000000" w:rsidRPr="00000000">
        <w:rPr>
          <w:rtl w:val="0"/>
        </w:rPr>
        <w:t xml:space="preserve">Given the demonstrated positive educational and developmental impact that its activities have had on participants</w:t>
      </w:r>
      <w:r w:rsidDel="00000000" w:rsidR="00000000" w:rsidRPr="00000000">
        <w:rPr>
          <w:highlight w:val="white"/>
          <w:rtl w:val="0"/>
        </w:rPr>
        <w:t xml:space="preserve">, implementation of the project has generated evidence in support of the notion that inclusion of CCS research activities </w:t>
      </w:r>
      <w:r w:rsidDel="00000000" w:rsidR="00000000" w:rsidRPr="00000000">
        <w:rPr>
          <w:rtl w:val="0"/>
        </w:rPr>
        <w:t xml:space="preserve">can be of tremendous benefit to future urban-based formal and informal STEM education reform efforts. Furthermore, project findings illustrate the usefulness of developing approaches for advancing STEM literacy that are sustained by combining university-related assets with those of community-based organizations. Additionally, through its implementation the project also has demonstrated how its programming model can play a role in helping to address urgent regional and national needs including: (1) increasing public STEM understanding and career awareness; (2) increasing public participation in environmental monitoring and other STEM-related research activities; and (3) identification of previously undetected, highly toxic environmental conditions.</w:t>
      </w:r>
      <w:r w:rsidDel="00000000" w:rsidR="00000000" w:rsidRPr="00000000">
        <w:rPr>
          <w:rtl w:val="0"/>
        </w:rPr>
      </w:r>
    </w:p>
    <w:p w:rsidR="00000000" w:rsidDel="00000000" w:rsidP="00000000" w:rsidRDefault="00000000" w:rsidRPr="00000000" w14:paraId="000000ED">
      <w:pPr>
        <w:pStyle w:val="Heading1"/>
        <w:spacing w:after="120" w:lineRule="auto"/>
        <w:rPr/>
      </w:pPr>
      <w:bookmarkStart w:colFirst="0" w:colLast="0" w:name="_dnak1ol3rvch" w:id="16"/>
      <w:bookmarkEnd w:id="16"/>
      <w:r w:rsidDel="00000000" w:rsidR="00000000" w:rsidRPr="00000000">
        <w:rPr>
          <w:rtl w:val="0"/>
        </w:rPr>
        <w:t xml:space="preserve">How to Get Involved</w:t>
      </w:r>
      <w:r w:rsidDel="00000000" w:rsidR="00000000" w:rsidRPr="00000000">
        <w:rPr>
          <w:rtl w:val="0"/>
        </w:rPr>
      </w:r>
    </w:p>
    <w:p w:rsidR="00000000" w:rsidDel="00000000" w:rsidP="00000000" w:rsidRDefault="00000000" w:rsidRPr="00000000" w14:paraId="000000EE">
      <w:pPr>
        <w:spacing w:line="276" w:lineRule="auto"/>
        <w:rPr/>
      </w:pPr>
      <w:r w:rsidDel="00000000" w:rsidR="00000000" w:rsidRPr="00000000">
        <w:rPr>
          <w:rtl w:val="0"/>
        </w:rPr>
        <w:t xml:space="preserve">The </w:t>
      </w:r>
      <w:r w:rsidDel="00000000" w:rsidR="00000000" w:rsidRPr="00000000">
        <w:rPr>
          <w:rtl w:val="0"/>
        </w:rPr>
        <w:t xml:space="preserve">Issue of soil heavy metal contamination is  pervasive in urban cores throughout the US due to the use of lead paint in older homes, vehicle emissions, and historical use of pesticides/herbicides. The program described here can be helpful in drawing attention to and addressing related  issues in communities around the country. The Lawrence Hall of Science offers several curriculum models that are available to implement within local communities. To learn more about how to bring these to your own community please visit our website </w:t>
      </w:r>
      <w:hyperlink r:id="rId9">
        <w:r w:rsidDel="00000000" w:rsidR="00000000" w:rsidRPr="00000000">
          <w:rPr>
            <w:color w:val="1155cc"/>
            <w:u w:val="single"/>
            <w:rtl w:val="0"/>
          </w:rPr>
          <w:t xml:space="preserve">www.lawrencehallofscience.org</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EF">
      <w:pPr>
        <w:spacing w:line="276" w:lineRule="auto"/>
        <w:rPr/>
      </w:pPr>
      <w:r w:rsidDel="00000000" w:rsidR="00000000" w:rsidRPr="00000000">
        <w:rPr>
          <w:rtl w:val="0"/>
        </w:rPr>
      </w:r>
    </w:p>
    <w:p w:rsidR="00000000" w:rsidDel="00000000" w:rsidP="00000000" w:rsidRDefault="00000000" w:rsidRPr="00000000" w14:paraId="000000F0">
      <w:pPr>
        <w:pStyle w:val="Heading4"/>
        <w:spacing w:after="320" w:before="0" w:lineRule="auto"/>
        <w:rPr/>
      </w:pPr>
      <w:bookmarkStart w:colFirst="0" w:colLast="0" w:name="_2s8eyo1" w:id="17"/>
      <w:bookmarkEnd w:id="17"/>
      <w:r w:rsidDel="00000000" w:rsidR="00000000" w:rsidRPr="00000000">
        <w:rPr>
          <w:rtl w:val="0"/>
        </w:rPr>
        <w:t xml:space="preserve">Acknowledgements</w:t>
      </w:r>
    </w:p>
    <w:p w:rsidR="00000000" w:rsidDel="00000000" w:rsidP="00000000" w:rsidRDefault="00000000" w:rsidRPr="00000000" w14:paraId="000000F1">
      <w:pPr>
        <w:rPr/>
      </w:pPr>
      <w:r w:rsidDel="00000000" w:rsidR="00000000" w:rsidRPr="00000000">
        <w:rPr>
          <w:rtl w:val="0"/>
        </w:rPr>
        <w:t xml:space="preserve">We want to acknowledge and express our gratitude to our project team educators Jim Niess-Cortez and Colleen Sutherland for their contributions to the design of the learning experience and their tireless support of learners. Further, we acknowledge and express gratitude to our research team Aujanee Young and Alex Sanchez for their coordination and design of research and commitment to understanding the youth experience in these programs. </w:t>
      </w:r>
    </w:p>
    <w:p w:rsidR="00000000" w:rsidDel="00000000" w:rsidP="00000000" w:rsidRDefault="00000000" w:rsidRPr="00000000" w14:paraId="000000F2">
      <w:pPr>
        <w:rPr/>
      </w:pPr>
      <w:r w:rsidDel="00000000" w:rsidR="00000000" w:rsidRPr="00000000">
        <w:rPr>
          <w:rtl w:val="0"/>
        </w:rPr>
        <w:t xml:space="preserve">We also want to acknowledge the incredible efforts of our partners in Michigan and Massachusetts, specifically the Flint Neighborhood Engagement Hub and the Harvard University Museum of Natural History. Your ability to translate this locally incubated program into such a powerful localized experience is greatly appreciated. </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br w:type="page"/>
      </w:r>
      <w:r w:rsidDel="00000000" w:rsidR="00000000" w:rsidRPr="00000000">
        <w:rPr>
          <w:rtl w:val="0"/>
        </w:rPr>
      </w:r>
    </w:p>
    <w:p w:rsidR="00000000" w:rsidDel="00000000" w:rsidP="00000000" w:rsidRDefault="00000000" w:rsidRPr="00000000" w14:paraId="000000F9">
      <w:pPr>
        <w:pStyle w:val="Heading1"/>
        <w:rPr/>
      </w:pPr>
      <w:bookmarkStart w:colFirst="0" w:colLast="0" w:name="_xeg10qtr9vgs" w:id="18"/>
      <w:bookmarkEnd w:id="18"/>
      <w:r w:rsidDel="00000000" w:rsidR="00000000" w:rsidRPr="00000000">
        <w:rPr>
          <w:rtl w:val="0"/>
        </w:rPr>
        <w:t xml:space="preserve">References</w:t>
      </w:r>
    </w:p>
    <w:p w:rsidR="00000000" w:rsidDel="00000000" w:rsidP="00000000" w:rsidRDefault="00000000" w:rsidRPr="00000000" w14:paraId="000000FA">
      <w:pPr>
        <w:rPr/>
      </w:pPr>
      <w:r w:rsidDel="00000000" w:rsidR="00000000" w:rsidRPr="00000000">
        <w:rPr>
          <w:rtl w:val="0"/>
        </w:rPr>
        <w:t xml:space="preserve">Bang, M., &amp; Medin, D. (2010). Cultural processes in science education: Supporting the navigation of multiple epistemologies. Science Education, 94(6), 1008-1026.</w:t>
      </w:r>
    </w:p>
    <w:p w:rsidR="00000000" w:rsidDel="00000000" w:rsidP="00000000" w:rsidRDefault="00000000" w:rsidRPr="00000000" w14:paraId="000000FB">
      <w:pPr>
        <w:rPr/>
      </w:pPr>
      <w:r w:rsidDel="00000000" w:rsidR="00000000" w:rsidRPr="00000000">
        <w:rPr>
          <w:rtl w:val="0"/>
        </w:rPr>
        <w:t xml:space="preserve">Clark, H. F., Hausladen, D. M., &amp; Brabander, D. J. (2008). Urban gardens: Lead exposure, recontamination mechanisms, and implications for remediation design. Environmental Research, 107(3), 312-319.</w:t>
      </w:r>
    </w:p>
    <w:p w:rsidR="00000000" w:rsidDel="00000000" w:rsidP="00000000" w:rsidRDefault="00000000" w:rsidRPr="00000000" w14:paraId="000000FC">
      <w:pPr>
        <w:rPr/>
      </w:pPr>
      <w:r w:rsidDel="00000000" w:rsidR="00000000" w:rsidRPr="00000000">
        <w:rPr>
          <w:rtl w:val="0"/>
        </w:rPr>
        <w:t xml:space="preserve">Creswell, J. W., &amp; Plano Clark, V. L. (2017). Designing and conducting mixed methods research (3rd ed.). SAGE Publications.</w:t>
      </w:r>
    </w:p>
    <w:p w:rsidR="00000000" w:rsidDel="00000000" w:rsidP="00000000" w:rsidRDefault="00000000" w:rsidRPr="00000000" w14:paraId="000000FD">
      <w:pPr>
        <w:rPr/>
      </w:pPr>
      <w:r w:rsidDel="00000000" w:rsidR="00000000" w:rsidRPr="00000000">
        <w:rPr>
          <w:rtl w:val="0"/>
        </w:rPr>
        <w:t xml:space="preserve">Dorph, R., Cannady, M. A., &amp; Schunn, C. D. (2016). How science learning activation enables success for youth in science learning experiences. The Electronic Journal for Research in Science &amp; Mathematics Education, 20(8).</w:t>
      </w:r>
    </w:p>
    <w:p w:rsidR="00000000" w:rsidDel="00000000" w:rsidP="00000000" w:rsidRDefault="00000000" w:rsidRPr="00000000" w14:paraId="000000FE">
      <w:pPr>
        <w:rPr/>
      </w:pPr>
      <w:r w:rsidDel="00000000" w:rsidR="00000000" w:rsidRPr="00000000">
        <w:rPr>
          <w:rtl w:val="0"/>
        </w:rPr>
        <w:t xml:space="preserve">Gutstein, E., &amp; Peterson, B. (Eds.). (2005). Rethinking mathematics: Teaching social justice by the numbers. Rethinking Schools.</w:t>
      </w:r>
    </w:p>
    <w:p w:rsidR="00000000" w:rsidDel="00000000" w:rsidP="00000000" w:rsidRDefault="00000000" w:rsidRPr="00000000" w14:paraId="000000FF">
      <w:pPr>
        <w:rPr/>
      </w:pPr>
      <w:r w:rsidDel="00000000" w:rsidR="00000000" w:rsidRPr="00000000">
        <w:rPr>
          <w:rtl w:val="0"/>
        </w:rPr>
        <w:t xml:space="preserve">Laidlaw, M. A. S., Mielke, H. W., Filippelli, G. M., Johnson, D. L., &amp; Gonzales, C. R. (2005). Seasonality and children's blood lead levels: Developing a predictive model using climatic variables and blood lead data from Indianapolis, Indiana, Syracuse, New York, and New Orleans, Louisiana (USA). Environmental Health Perspectives, 113(6), 793-800.</w:t>
      </w:r>
    </w:p>
    <w:p w:rsidR="00000000" w:rsidDel="00000000" w:rsidP="00000000" w:rsidRDefault="00000000" w:rsidRPr="00000000" w14:paraId="00000100">
      <w:pPr>
        <w:rPr/>
      </w:pPr>
      <w:r w:rsidDel="00000000" w:rsidR="00000000" w:rsidRPr="00000000">
        <w:rPr>
          <w:rtl w:val="0"/>
        </w:rPr>
        <w:t xml:space="preserve">Laidlaw, M. A. S., &amp; Filippelli, G. M. (2008). Resuspension of urban soils as a persistent source of lead poisoning in children: A review and new directions. Applied Geochemistry, 23(8), 2021-2039.</w:t>
      </w:r>
    </w:p>
    <w:p w:rsidR="00000000" w:rsidDel="00000000" w:rsidP="00000000" w:rsidRDefault="00000000" w:rsidRPr="00000000" w14:paraId="00000101">
      <w:pPr>
        <w:rPr/>
      </w:pPr>
      <w:r w:rsidDel="00000000" w:rsidR="00000000" w:rsidRPr="00000000">
        <w:rPr>
          <w:rtl w:val="0"/>
        </w:rPr>
        <w:t xml:space="preserve">Laidlaw, M. A. S., Filippelli, G. M., Brown, S., Paz-Ferreiro, J., Reichman, S. M., Netherway, P., ... &amp; Mielke, H. W. (2016). Case studies and evidence-based approaches to addressing urban soil lead contamination. Applied Geochemistry.</w:t>
      </w:r>
    </w:p>
    <w:p w:rsidR="00000000" w:rsidDel="00000000" w:rsidP="00000000" w:rsidRDefault="00000000" w:rsidRPr="00000000" w14:paraId="00000102">
      <w:pPr>
        <w:rPr/>
      </w:pPr>
      <w:r w:rsidDel="00000000" w:rsidR="00000000" w:rsidRPr="00000000">
        <w:rPr>
          <w:rtl w:val="0"/>
        </w:rPr>
        <w:t xml:space="preserve">Martin, D. B. (2013). Race, racial projects, and mathematics education. Journal for Research in Mathematics Education, 44(1), 316-333.</w:t>
      </w:r>
    </w:p>
    <w:p w:rsidR="00000000" w:rsidDel="00000000" w:rsidP="00000000" w:rsidRDefault="00000000" w:rsidRPr="00000000" w14:paraId="00000103">
      <w:pPr>
        <w:rPr/>
      </w:pPr>
      <w:r w:rsidDel="00000000" w:rsidR="00000000" w:rsidRPr="00000000">
        <w:rPr>
          <w:rtl w:val="0"/>
        </w:rPr>
        <w:t xml:space="preserve">Mielke, H.W., Gonzales, C.R., Powell, E.T. and Mielke, P.W., 2013. Environmental and health disparities in residential communities of New Orleans: The need for soil lead intervention to advance primary prevention. Environment international, 51, pp.73-81.</w:t>
      </w:r>
    </w:p>
    <w:p w:rsidR="00000000" w:rsidDel="00000000" w:rsidP="00000000" w:rsidRDefault="00000000" w:rsidRPr="00000000" w14:paraId="00000104">
      <w:pPr>
        <w:rPr/>
      </w:pPr>
      <w:r w:rsidDel="00000000" w:rsidR="00000000" w:rsidRPr="00000000">
        <w:rPr>
          <w:rtl w:val="0"/>
        </w:rPr>
        <w:t xml:space="preserve">Nasir, N.I.S. and Vakil, S., 2017. STEM-focused academies in urban schools: Tensions and possibilities. Journal of the Learning Sciences, 26(3), pp.376-406.</w:t>
      </w:r>
    </w:p>
    <w:p w:rsidR="00000000" w:rsidDel="00000000" w:rsidP="00000000" w:rsidRDefault="00000000" w:rsidRPr="00000000" w14:paraId="00000105">
      <w:pPr>
        <w:rPr/>
      </w:pPr>
      <w:r w:rsidDel="00000000" w:rsidR="00000000" w:rsidRPr="00000000">
        <w:rPr>
          <w:rtl w:val="0"/>
        </w:rPr>
        <w:t xml:space="preserve">Sturges, W.T. and Harrison, R.M., 1985. An assessment of the contribution from paint flakes to the lead content of some street and household dusts. Science of the total environment, 44(3), pp.225-234.</w:t>
      </w:r>
    </w:p>
    <w:p w:rsidR="00000000" w:rsidDel="00000000" w:rsidP="00000000" w:rsidRDefault="00000000" w:rsidRPr="00000000" w14:paraId="00000106">
      <w:pPr>
        <w:rPr/>
      </w:pPr>
      <w:r w:rsidDel="00000000" w:rsidR="00000000" w:rsidRPr="00000000">
        <w:rPr>
          <w:rtl w:val="0"/>
        </w:rPr>
        <w:t xml:space="preserve">Vakil, S., McKinney de Royston, M., Suad Nasir, N., &amp; Keighes, N. (2016). Rethinking race and power in design-based research: Reflections from the field. Cognition and Instruction, 34(3), 194-209.</w:t>
      </w:r>
    </w:p>
    <w:p w:rsidR="00000000" w:rsidDel="00000000" w:rsidP="00000000" w:rsidRDefault="00000000" w:rsidRPr="00000000" w14:paraId="00000107">
      <w:pPr>
        <w:rPr/>
      </w:pPr>
      <w:r w:rsidDel="00000000" w:rsidR="00000000" w:rsidRPr="00000000">
        <w:rPr>
          <w:rtl w:val="0"/>
        </w:rPr>
        <w:t xml:space="preserve">Zahran, S., Mielke, H.W., McElmurry, S.P., Filippelli, G.M., Laidlaw, M.A. and Taylor, M.P., 2013. Determining the relative importance of soil sample locations to predict risk of child lead exposure. Environment International, 60, pp.7-14.</w:t>
      </w:r>
    </w:p>
    <w:p w:rsidR="00000000" w:rsidDel="00000000" w:rsidP="00000000" w:rsidRDefault="00000000" w:rsidRPr="00000000" w14:paraId="00000108">
      <w:pPr>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Calibri"/>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center" w:leader="none" w:pos="4680"/>
        <w:tab w:val="right" w:leader="none" w:pos="9360"/>
      </w:tabs>
      <w:ind w:left="-1440" w:firstLine="0"/>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pStyle w:val="Title"/>
      <w:tabs>
        <w:tab w:val="center" w:leader="none" w:pos="4680"/>
        <w:tab w:val="right" w:leader="none" w:pos="9360"/>
      </w:tabs>
      <w:spacing w:after="0" w:before="0" w:lineRule="auto"/>
      <w:rPr>
        <w:rFonts w:ascii="Poppins" w:cs="Poppins" w:eastAsia="Poppins" w:hAnsi="Poppins"/>
        <w:b w:val="0"/>
        <w:bCs w:val="0"/>
        <w:sz w:val="42"/>
        <w:szCs w:val="42"/>
      </w:rPr>
    </w:pPr>
    <w:bookmarkStart w:colFirst="0" w:colLast="0" w:name="_obsqlwg4si0j" w:id="19"/>
    <w:bookmarkEnd w:id="19"/>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4690441</wp:posOffset>
          </wp:positionH>
          <wp:positionV relativeFrom="paragraph">
            <wp:posOffset>3175</wp:posOffset>
          </wp:positionV>
          <wp:extent cx="2162175" cy="2162175"/>
          <wp:effectExtent b="0" l="0" r="0" t="0"/>
          <wp:wrapSquare wrapText="bothSides" distB="0" distT="0" distL="114300" distR="114300"/>
          <wp:docPr descr="A logo with blue cubes&#10;&#10;Description automatically generated" id="2" name="image5.png"/>
          <a:graphic>
            <a:graphicData uri="http://schemas.openxmlformats.org/drawingml/2006/picture">
              <pic:pic>
                <pic:nvPicPr>
                  <pic:cNvPr descr="A logo with blue cubes&#10;&#10;Description automatically generated" id="0" name="image5.png"/>
                  <pic:cNvPicPr preferRelativeResize="0"/>
                </pic:nvPicPr>
                <pic:blipFill>
                  <a:blip r:embed="rId1"/>
                  <a:srcRect b="0" l="4110" r="4110" t="0"/>
                  <a:stretch>
                    <a:fillRect/>
                  </a:stretch>
                </pic:blipFill>
                <pic:spPr>
                  <a:xfrm>
                    <a:off x="0" y="0"/>
                    <a:ext cx="2162175" cy="2162175"/>
                  </a:xfrm>
                  <a:prstGeom prst="rect"/>
                  <a:ln/>
                </pic:spPr>
              </pic:pic>
            </a:graphicData>
          </a:graphic>
        </wp:anchor>
      </w:drawing>
    </w:r>
  </w:p>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center" w:leader="none" w:pos="4680"/>
        <w:tab w:val="right" w:leader="none" w:pos="9360"/>
      </w:tabs>
      <w:ind w:left="-1440" w:firstLine="0"/>
      <w:rPr>
        <w:color w:val="000000"/>
      </w:rPr>
    </w:pPr>
    <w:r w:rsidDel="00000000" w:rsidR="00000000" w:rsidRPr="00000000">
      <w:rPr/>
      <w:drawing>
        <wp:anchor allowOverlap="1" behindDoc="0" distB="114300" distT="114300" distL="114300" distR="114300" hidden="0" layoutInCell="1" locked="0" relativeHeight="0" simplePos="0">
          <wp:simplePos x="0" y="0"/>
          <wp:positionH relativeFrom="page">
            <wp:posOffset>899408</wp:posOffset>
          </wp:positionH>
          <wp:positionV relativeFrom="page">
            <wp:posOffset>339422</wp:posOffset>
          </wp:positionV>
          <wp:extent cx="2402698" cy="1824038"/>
          <wp:effectExtent b="0" l="0" r="0" t="0"/>
          <wp:wrapTopAndBottom distB="114300" distT="114300"/>
          <wp:docPr id="5" name="image4.png"/>
          <a:graphic>
            <a:graphicData uri="http://schemas.openxmlformats.org/drawingml/2006/picture">
              <pic:pic>
                <pic:nvPicPr>
                  <pic:cNvPr id="0" name="image4.png"/>
                  <pic:cNvPicPr preferRelativeResize="0"/>
                </pic:nvPicPr>
                <pic:blipFill>
                  <a:blip r:embed="rId2"/>
                  <a:srcRect b="0" l="77" r="77" t="0"/>
                  <a:stretch>
                    <a:fillRect/>
                  </a:stretch>
                </pic:blipFill>
                <pic:spPr>
                  <a:xfrm>
                    <a:off x="0" y="0"/>
                    <a:ext cx="2402698" cy="182403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oppins" w:cs="Poppins" w:eastAsia="Poppins" w:hAnsi="Poppins"/>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00" w:lineRule="auto"/>
    </w:pPr>
    <w:rPr>
      <w:b w:val="1"/>
      <w:bCs w:val="1"/>
      <w:color w:val="0030cc"/>
      <w:sz w:val="48"/>
      <w:szCs w:val="48"/>
    </w:rPr>
  </w:style>
  <w:style w:type="paragraph" w:styleId="Heading2">
    <w:name w:val="heading 2"/>
    <w:basedOn w:val="Normal"/>
    <w:next w:val="Normal"/>
    <w:pPr>
      <w:keepNext w:val="1"/>
      <w:keepLines w:val="1"/>
      <w:spacing w:after="0" w:lineRule="auto"/>
    </w:pPr>
    <w:rPr>
      <w:b w:val="1"/>
      <w:bCs w:val="1"/>
      <w:color w:val="058572"/>
      <w:sz w:val="40"/>
      <w:szCs w:val="40"/>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0" w:lineRule="auto"/>
      <w:jc w:val="both"/>
    </w:pPr>
    <w:rPr>
      <w:i w:val="1"/>
      <w:iCs w:val="1"/>
      <w:color w:val="078572"/>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line="240" w:lineRule="auto"/>
    </w:pPr>
    <w:rPr>
      <w:b w:val="1"/>
      <w:bCs w:val="1"/>
      <w:sz w:val="60"/>
      <w:szCs w:val="6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lawrencehallofscience.org"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PoppinsLight-regular.ttf"/><Relationship Id="rId6" Type="http://schemas.openxmlformats.org/officeDocument/2006/relationships/font" Target="fonts/PoppinsLight-bold.ttf"/><Relationship Id="rId7" Type="http://schemas.openxmlformats.org/officeDocument/2006/relationships/font" Target="fonts/PoppinsLight-italic.ttf"/><Relationship Id="rId8" Type="http://schemas.openxmlformats.org/officeDocument/2006/relationships/font" Target="fonts/PoppinsLight-boldItalic.ttf"/></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